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9C75C4" w14:textId="77777777" w:rsidR="006B14D6" w:rsidRDefault="00000000">
      <w:pPr>
        <w:pStyle w:val="Heading"/>
        <w:keepNext w:val="0"/>
        <w:keepLines w:val="0"/>
        <w:spacing w:before="480"/>
        <w:rPr>
          <w:rFonts w:ascii="Roboto" w:eastAsia="Roboto" w:hAnsi="Roboto" w:cs="Roboto"/>
          <w:b/>
          <w:bCs/>
          <w:sz w:val="46"/>
          <w:szCs w:val="46"/>
        </w:rPr>
      </w:pPr>
      <w:bookmarkStart w:id="0" w:name="_a6h23e9q23u"/>
      <w:bookmarkEnd w:id="0"/>
      <w:r>
        <w:rPr>
          <w:rFonts w:ascii="Roboto" w:eastAsia="Roboto" w:hAnsi="Roboto" w:cs="Roboto"/>
          <w:b/>
          <w:bCs/>
          <w:sz w:val="46"/>
          <w:szCs w:val="46"/>
        </w:rPr>
        <w:t>P</w:t>
      </w:r>
      <w:proofErr w:type="spellStart"/>
      <w:r>
        <w:rPr>
          <w:rFonts w:ascii="Roboto" w:eastAsia="Roboto" w:hAnsi="Roboto" w:cs="Roboto"/>
          <w:b/>
          <w:bCs/>
          <w:sz w:val="46"/>
          <w:szCs w:val="46"/>
          <w:lang w:val="en-US"/>
        </w:rPr>
        <w:t>olicy</w:t>
      </w:r>
      <w:proofErr w:type="spellEnd"/>
      <w:r>
        <w:rPr>
          <w:rFonts w:ascii="Roboto" w:eastAsia="Roboto" w:hAnsi="Roboto" w:cs="Roboto"/>
          <w:b/>
          <w:bCs/>
          <w:sz w:val="46"/>
          <w:szCs w:val="46"/>
          <w:lang w:val="en-US"/>
        </w:rPr>
        <w:t xml:space="preserve"> Brief: Quad Ports of the Future Partnership</w:t>
      </w:r>
    </w:p>
    <w:p w14:paraId="445EA98F" w14:textId="77777777" w:rsidR="006B14D6" w:rsidRDefault="00000000">
      <w:pPr>
        <w:pStyle w:val="Heading2"/>
        <w:keepNext w:val="0"/>
        <w:keepLines w:val="0"/>
        <w:spacing w:after="80"/>
        <w:rPr>
          <w:rFonts w:ascii="Roboto" w:eastAsia="Roboto" w:hAnsi="Roboto" w:cs="Roboto"/>
          <w:b/>
          <w:bCs/>
          <w:sz w:val="34"/>
          <w:szCs w:val="34"/>
        </w:rPr>
      </w:pPr>
      <w:bookmarkStart w:id="1" w:name="_vo29d6kfb25f"/>
      <w:bookmarkEnd w:id="1"/>
      <w:r>
        <w:rPr>
          <w:rFonts w:ascii="Roboto" w:eastAsia="Roboto" w:hAnsi="Roboto" w:cs="Roboto"/>
          <w:b/>
          <w:bCs/>
          <w:sz w:val="34"/>
          <w:szCs w:val="34"/>
        </w:rPr>
        <w:t>A</w:t>
      </w:r>
      <w:r>
        <w:rPr>
          <w:rFonts w:ascii="Roboto" w:eastAsia="Roboto" w:hAnsi="Roboto" w:cs="Roboto"/>
          <w:b/>
          <w:bCs/>
          <w:sz w:val="34"/>
          <w:szCs w:val="34"/>
          <w:lang w:val="en-US"/>
        </w:rPr>
        <w:t xml:space="preserve"> Framework for Indo-Pacific Port Development</w:t>
      </w:r>
    </w:p>
    <w:p w14:paraId="7E9BA61E" w14:textId="77777777" w:rsidR="006B14D6" w:rsidRDefault="00000000">
      <w:pPr>
        <w:pStyle w:val="Heading3"/>
        <w:keepNext w:val="0"/>
        <w:keepLines w:val="0"/>
        <w:spacing w:before="280"/>
        <w:rPr>
          <w:rFonts w:ascii="Roboto" w:eastAsia="Roboto" w:hAnsi="Roboto" w:cs="Roboto"/>
          <w:b/>
          <w:bCs/>
          <w:color w:val="000000"/>
          <w:sz w:val="26"/>
          <w:szCs w:val="26"/>
          <w:u w:color="000000"/>
        </w:rPr>
      </w:pPr>
      <w:bookmarkStart w:id="2" w:name="_rs8noxjh16xx"/>
      <w:bookmarkEnd w:id="2"/>
      <w:r>
        <w:rPr>
          <w:rFonts w:ascii="Roboto" w:eastAsia="Roboto" w:hAnsi="Roboto" w:cs="Roboto"/>
          <w:b/>
          <w:bCs/>
          <w:color w:val="000000"/>
          <w:sz w:val="26"/>
          <w:szCs w:val="26"/>
          <w:u w:color="000000"/>
        </w:rPr>
        <w:t>C</w:t>
      </w:r>
      <w:r>
        <w:rPr>
          <w:rFonts w:ascii="Roboto" w:eastAsia="Roboto" w:hAnsi="Roboto" w:cs="Roboto"/>
          <w:b/>
          <w:bCs/>
          <w:color w:val="000000"/>
          <w:sz w:val="26"/>
          <w:szCs w:val="26"/>
          <w:u w:color="000000"/>
          <w:lang w:val="it-IT"/>
        </w:rPr>
        <w:t xml:space="preserve">ore </w:t>
      </w:r>
      <w:proofErr w:type="spellStart"/>
      <w:r>
        <w:rPr>
          <w:rFonts w:ascii="Roboto" w:eastAsia="Roboto" w:hAnsi="Roboto" w:cs="Roboto"/>
          <w:b/>
          <w:bCs/>
          <w:color w:val="000000"/>
          <w:sz w:val="26"/>
          <w:szCs w:val="26"/>
          <w:u w:color="000000"/>
          <w:lang w:val="it-IT"/>
        </w:rPr>
        <w:t>Argument</w:t>
      </w:r>
      <w:proofErr w:type="spellEnd"/>
      <w:r>
        <w:rPr>
          <w:rFonts w:ascii="Roboto" w:eastAsia="Roboto" w:hAnsi="Roboto" w:cs="Roboto"/>
          <w:b/>
          <w:bCs/>
          <w:color w:val="000000"/>
          <w:sz w:val="26"/>
          <w:szCs w:val="26"/>
          <w:u w:color="000000"/>
          <w:lang w:val="it-IT"/>
        </w:rPr>
        <w:br/>
      </w:r>
    </w:p>
    <w:p w14:paraId="3440BE91" w14:textId="5BAA95EB" w:rsidR="006B14D6" w:rsidRDefault="00F54F40">
      <w:pPr>
        <w:pStyle w:val="Body"/>
        <w:spacing w:before="240" w:after="240"/>
        <w:rPr>
          <w:rFonts w:ascii="Roboto" w:eastAsia="Roboto" w:hAnsi="Roboto" w:cs="Roboto"/>
          <w:sz w:val="20"/>
          <w:szCs w:val="20"/>
        </w:rPr>
      </w:pPr>
      <w:r w:rsidRPr="00F54F40">
        <w:rPr>
          <w:rFonts w:ascii="Roboto" w:eastAsia="Roboto" w:hAnsi="Roboto" w:cs="Roboto"/>
          <w:sz w:val="20"/>
          <w:szCs w:val="20"/>
          <w:lang w:val="en-US"/>
        </w:rPr>
        <w:t>The Quad Ports of the Future Partnership will build on the strengths of four governments with differing capacities but all geared to use technology to promote cooperative outcomes in the Indo-Pacific.</w:t>
      </w:r>
      <w:r w:rsidR="00000000">
        <w:rPr>
          <w:rFonts w:ascii="Roboto" w:eastAsia="Roboto" w:hAnsi="Roboto" w:cs="Roboto"/>
          <w:sz w:val="20"/>
          <w:szCs w:val="20"/>
        </w:rPr>
        <w:br/>
      </w:r>
    </w:p>
    <w:p w14:paraId="75E760F0" w14:textId="487EDC2F" w:rsidR="00F54F40" w:rsidRDefault="00F54F40">
      <w:pPr>
        <w:pStyle w:val="Body"/>
        <w:spacing w:before="240" w:after="240"/>
        <w:rPr>
          <w:rFonts w:ascii="Roboto" w:eastAsia="Roboto" w:hAnsi="Roboto" w:cs="Roboto"/>
          <w:sz w:val="20"/>
          <w:szCs w:val="20"/>
          <w:lang w:val="en-US"/>
        </w:rPr>
      </w:pPr>
      <w:r w:rsidRPr="00F54F40">
        <w:rPr>
          <w:rFonts w:ascii="Roboto" w:eastAsia="Roboto" w:hAnsi="Roboto" w:cs="Roboto"/>
          <w:sz w:val="20"/>
          <w:szCs w:val="20"/>
          <w:lang w:val="en-US"/>
        </w:rPr>
        <w:t>The Quad governments will promote interoperable systems and enforcement capacity across ports, shipbuilding, and the broader maritime economy</w:t>
      </w:r>
    </w:p>
    <w:p w14:paraId="2B2E695F" w14:textId="4838F203"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 xml:space="preserve">The Quad's distinctive contribution lies in offering transparent, co-designed partnerships that respect sovereignty while enabling interoperability. This </w:t>
      </w:r>
      <w:r w:rsidR="00F54F40">
        <w:rPr>
          <w:rFonts w:ascii="Roboto" w:eastAsia="Roboto" w:hAnsi="Roboto" w:cs="Roboto"/>
          <w:sz w:val="20"/>
          <w:szCs w:val="20"/>
          <w:lang w:val="en-US"/>
        </w:rPr>
        <w:t>will reject</w:t>
      </w:r>
      <w:r>
        <w:rPr>
          <w:rFonts w:ascii="Roboto" w:eastAsia="Roboto" w:hAnsi="Roboto" w:cs="Roboto"/>
          <w:sz w:val="20"/>
          <w:szCs w:val="20"/>
          <w:lang w:val="en-US"/>
        </w:rPr>
        <w:t xml:space="preserve"> the traditional donor-recipient model that embeds political leverage through infrastructure dependency. </w:t>
      </w:r>
      <w:r w:rsidR="00F54F40" w:rsidRPr="00F54F40">
        <w:rPr>
          <w:rFonts w:ascii="Roboto" w:eastAsia="Roboto" w:hAnsi="Roboto" w:cs="Roboto"/>
          <w:sz w:val="20"/>
          <w:szCs w:val="20"/>
          <w:lang w:val="en-US"/>
        </w:rPr>
        <w:t>The approach emphasizes flexibility and modularity. Conference discussions highlighted several practical advantages: smaller ports can adopt automation tools calibrated to their actual cargo volumes rather than face pressure for costly comprehensive system overhauls that exceed economic logic; digital integration can prioritize the critical data elements that drive most trade documents rather than pursue full harmonization; and institutional frameworks can address dual-use risks while preserving commercial functionality.</w:t>
      </w:r>
    </w:p>
    <w:p w14:paraId="0F01F589" w14:textId="77777777" w:rsidR="00086EBB" w:rsidRDefault="00086EBB">
      <w:pPr>
        <w:pStyle w:val="Heading3"/>
        <w:keepNext w:val="0"/>
        <w:keepLines w:val="0"/>
        <w:spacing w:before="280"/>
        <w:rPr>
          <w:rFonts w:ascii="Roboto" w:eastAsia="Roboto" w:hAnsi="Roboto" w:cs="Roboto"/>
          <w:color w:val="000000"/>
          <w:sz w:val="20"/>
          <w:szCs w:val="20"/>
          <w:u w:color="000000"/>
          <w:lang w:val="en-US"/>
        </w:rPr>
      </w:pPr>
      <w:bookmarkStart w:id="3" w:name="_f89yefbemy3e"/>
      <w:bookmarkEnd w:id="3"/>
      <w:r w:rsidRPr="00086EBB">
        <w:rPr>
          <w:rFonts w:ascii="Roboto" w:eastAsia="Roboto" w:hAnsi="Roboto" w:cs="Roboto"/>
          <w:color w:val="000000"/>
          <w:sz w:val="20"/>
          <w:szCs w:val="20"/>
          <w:u w:color="000000"/>
          <w:lang w:val="en-US"/>
        </w:rPr>
        <w:t xml:space="preserve">India's port infrastructure improvements illustrate the model's potential. Jawaharlal Nehru Port's (JNPA) operational transformation and </w:t>
      </w:r>
      <w:proofErr w:type="spellStart"/>
      <w:r w:rsidRPr="00086EBB">
        <w:rPr>
          <w:rFonts w:ascii="Roboto" w:eastAsia="Roboto" w:hAnsi="Roboto" w:cs="Roboto"/>
          <w:color w:val="000000"/>
          <w:sz w:val="20"/>
          <w:szCs w:val="20"/>
          <w:u w:color="000000"/>
          <w:lang w:val="en-US"/>
        </w:rPr>
        <w:t>Vizhinjam's</w:t>
      </w:r>
      <w:proofErr w:type="spellEnd"/>
      <w:r w:rsidRPr="00086EBB">
        <w:rPr>
          <w:rFonts w:ascii="Roboto" w:eastAsia="Roboto" w:hAnsi="Roboto" w:cs="Roboto"/>
          <w:color w:val="000000"/>
          <w:sz w:val="20"/>
          <w:szCs w:val="20"/>
          <w:u w:color="000000"/>
          <w:lang w:val="en-US"/>
        </w:rPr>
        <w:t xml:space="preserve"> rapid development demonstrate what targeted investment and clear operational focus can achieve. The India-UAE Maitri corridor shows how digital integration can enhance performance and connectivity across the region. Together, these precedents prove the approach works—success stems from strategic prioritization and coordinated partnerships, not unfocused spending. Scaling this model to Quad level requires coordinated enforcement frameworks, standard-setting that allows national flexibility, and transparent contractual safeguards that make partners comfortable accepting Quad-backed infrastructure.</w:t>
      </w:r>
    </w:p>
    <w:p w14:paraId="796A518A" w14:textId="7033D1BB" w:rsidR="006B14D6" w:rsidRDefault="00000000">
      <w:pPr>
        <w:pStyle w:val="Heading3"/>
        <w:keepNext w:val="0"/>
        <w:keepLines w:val="0"/>
        <w:spacing w:before="280"/>
        <w:rPr>
          <w:rFonts w:ascii="Roboto" w:eastAsia="Roboto" w:hAnsi="Roboto" w:cs="Roboto"/>
          <w:b/>
          <w:bCs/>
          <w:color w:val="000000"/>
          <w:sz w:val="26"/>
          <w:szCs w:val="26"/>
          <w:u w:color="000000"/>
        </w:rPr>
      </w:pPr>
      <w:r>
        <w:rPr>
          <w:rFonts w:ascii="Roboto" w:eastAsia="Roboto" w:hAnsi="Roboto" w:cs="Roboto"/>
          <w:b/>
          <w:bCs/>
          <w:color w:val="000000"/>
          <w:sz w:val="26"/>
          <w:szCs w:val="26"/>
          <w:u w:color="000000"/>
        </w:rPr>
        <w:t>E</w:t>
      </w:r>
      <w:proofErr w:type="spellStart"/>
      <w:r>
        <w:rPr>
          <w:rFonts w:ascii="Roboto" w:eastAsia="Roboto" w:hAnsi="Roboto" w:cs="Roboto"/>
          <w:b/>
          <w:bCs/>
          <w:color w:val="000000"/>
          <w:sz w:val="26"/>
          <w:szCs w:val="26"/>
          <w:u w:color="000000"/>
          <w:lang w:val="en-US"/>
        </w:rPr>
        <w:t>xecutive</w:t>
      </w:r>
      <w:proofErr w:type="spellEnd"/>
      <w:r>
        <w:rPr>
          <w:rFonts w:ascii="Roboto" w:eastAsia="Roboto" w:hAnsi="Roboto" w:cs="Roboto"/>
          <w:b/>
          <w:bCs/>
          <w:color w:val="000000"/>
          <w:sz w:val="26"/>
          <w:szCs w:val="26"/>
          <w:u w:color="000000"/>
          <w:lang w:val="en-US"/>
        </w:rPr>
        <w:t xml:space="preserve"> Summary</w:t>
      </w:r>
    </w:p>
    <w:p w14:paraId="7EC71197" w14:textId="703CC0A4"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 xml:space="preserve">The first Quad Ports of the Future Partnership Conference convened in Mumbai on October 29-30, 2025, bringing together over 100 delegates from the four Quad nations and Indo-Pacific partners to operationalize </w:t>
      </w:r>
      <w:r w:rsidR="00F54F40">
        <w:rPr>
          <w:rFonts w:ascii="Roboto" w:eastAsia="Roboto" w:hAnsi="Roboto" w:cs="Roboto"/>
          <w:sz w:val="20"/>
          <w:szCs w:val="20"/>
        </w:rPr>
        <w:t>maritime</w:t>
      </w:r>
      <w:r>
        <w:rPr>
          <w:rFonts w:ascii="Roboto" w:eastAsia="Roboto" w:hAnsi="Roboto" w:cs="Roboto"/>
          <w:sz w:val="20"/>
          <w:szCs w:val="20"/>
          <w:lang w:val="en-US"/>
        </w:rPr>
        <w:t xml:space="preserve"> development under the Wilmington Declaration framework.</w:t>
      </w:r>
    </w:p>
    <w:p w14:paraId="35FAD4CD" w14:textId="77777777" w:rsidR="006B14D6" w:rsidRDefault="006B14D6">
      <w:pPr>
        <w:pStyle w:val="Body"/>
        <w:spacing w:before="240" w:after="240"/>
        <w:rPr>
          <w:rFonts w:ascii="Roboto" w:eastAsia="Roboto" w:hAnsi="Roboto" w:cs="Roboto"/>
          <w:sz w:val="20"/>
          <w:szCs w:val="20"/>
        </w:rPr>
      </w:pPr>
    </w:p>
    <w:p w14:paraId="72C29B8E" w14:textId="0490BEA1" w:rsidR="006B14D6" w:rsidRDefault="00000000">
      <w:pPr>
        <w:pStyle w:val="Body"/>
        <w:spacing w:before="240" w:after="240"/>
        <w:rPr>
          <w:rFonts w:ascii="Roboto" w:eastAsia="Roboto" w:hAnsi="Roboto" w:cs="Roboto"/>
          <w:sz w:val="20"/>
          <w:szCs w:val="20"/>
        </w:rPr>
      </w:pPr>
      <w:r>
        <w:rPr>
          <w:rFonts w:ascii="Roboto" w:eastAsia="Roboto" w:hAnsi="Roboto" w:cs="Roboto"/>
          <w:b/>
          <w:bCs/>
          <w:sz w:val="20"/>
          <w:szCs w:val="20"/>
          <w:lang w:val="en-US"/>
        </w:rPr>
        <w:lastRenderedPageBreak/>
        <w:t>Wh</w:t>
      </w:r>
      <w:r w:rsidR="00086EBB">
        <w:rPr>
          <w:rFonts w:ascii="Roboto" w:eastAsia="Roboto" w:hAnsi="Roboto" w:cs="Roboto"/>
          <w:b/>
          <w:bCs/>
          <w:sz w:val="20"/>
          <w:szCs w:val="20"/>
          <w:lang w:val="en-US"/>
        </w:rPr>
        <w:t xml:space="preserve">ere is the focus? </w:t>
      </w:r>
      <w:r w:rsidR="00086EBB">
        <w:rPr>
          <w:rFonts w:ascii="Roboto" w:eastAsia="Roboto" w:hAnsi="Roboto" w:cs="Roboto"/>
          <w:b/>
          <w:bCs/>
          <w:sz w:val="20"/>
          <w:szCs w:val="20"/>
          <w:lang w:val="en-US"/>
        </w:rPr>
        <w:br/>
      </w:r>
      <w:r>
        <w:rPr>
          <w:rFonts w:ascii="Roboto" w:eastAsia="Roboto" w:hAnsi="Roboto" w:cs="Roboto"/>
          <w:sz w:val="20"/>
          <w:szCs w:val="20"/>
          <w:lang w:val="en-US"/>
        </w:rPr>
        <w:t>This is not primarily about terminal capacity or berth construction. It is about who defines connectivity standards, data access rights, enforcement protocols, and security frameworks across Indo-Pacific maritime infrastructure systems that will persist for decades. Asia faces an infrastructure gap measured in hundreds of billions of dollars, with the critical geopolitical question being whether Indo-Pacific ports operate as open, transparent systems governed by agreed rules or as captured assets serving narrow political interests.</w:t>
      </w:r>
    </w:p>
    <w:p w14:paraId="2ED683AF" w14:textId="36B9DBED" w:rsidR="006B14D6" w:rsidRDefault="00000000">
      <w:pPr>
        <w:pStyle w:val="Body"/>
        <w:spacing w:before="240" w:after="240"/>
        <w:rPr>
          <w:rFonts w:ascii="Roboto" w:eastAsia="Roboto" w:hAnsi="Roboto" w:cs="Roboto"/>
          <w:sz w:val="20"/>
          <w:szCs w:val="20"/>
        </w:rPr>
      </w:pPr>
      <w:r>
        <w:rPr>
          <w:rFonts w:ascii="Roboto" w:eastAsia="Roboto" w:hAnsi="Roboto" w:cs="Roboto"/>
          <w:b/>
          <w:bCs/>
          <w:sz w:val="20"/>
          <w:szCs w:val="20"/>
          <w:lang w:val="en-US"/>
        </w:rPr>
        <w:t>Why the Quad approach is distinctive</w:t>
      </w:r>
      <w:r w:rsidR="00086EBB">
        <w:rPr>
          <w:rFonts w:ascii="Roboto" w:eastAsia="Roboto" w:hAnsi="Roboto" w:cs="Roboto"/>
          <w:sz w:val="20"/>
          <w:szCs w:val="20"/>
        </w:rPr>
        <w:br/>
      </w:r>
      <w:r>
        <w:rPr>
          <w:rFonts w:ascii="Roboto" w:eastAsia="Roboto" w:hAnsi="Roboto" w:cs="Roboto"/>
          <w:sz w:val="20"/>
          <w:szCs w:val="20"/>
        </w:rPr>
        <w:t xml:space="preserve"> </w:t>
      </w:r>
      <w:r>
        <w:rPr>
          <w:rFonts w:ascii="Roboto" w:eastAsia="Roboto" w:hAnsi="Roboto" w:cs="Roboto"/>
          <w:sz w:val="20"/>
          <w:szCs w:val="20"/>
          <w:lang w:val="en-US"/>
        </w:rPr>
        <w:t>The traditional infrastructure development model operates through donor-recipient dynamics that generate dependency and political leverage</w:t>
      </w:r>
      <w:r w:rsidR="00086EBB">
        <w:rPr>
          <w:rFonts w:ascii="Roboto" w:eastAsia="Roboto" w:hAnsi="Roboto" w:cs="Roboto"/>
          <w:sz w:val="20"/>
          <w:szCs w:val="20"/>
          <w:lang w:val="en-US"/>
        </w:rPr>
        <w:t xml:space="preserve"> like the China led Belt and Road Initiative</w:t>
      </w:r>
      <w:r>
        <w:rPr>
          <w:rFonts w:ascii="Roboto" w:eastAsia="Roboto" w:hAnsi="Roboto" w:cs="Roboto"/>
          <w:sz w:val="20"/>
          <w:szCs w:val="20"/>
          <w:lang w:val="en-US"/>
        </w:rPr>
        <w:t xml:space="preserve">. The Quad explicitly rejects this in </w:t>
      </w:r>
      <w:proofErr w:type="spellStart"/>
      <w:r>
        <w:rPr>
          <w:rFonts w:ascii="Roboto" w:eastAsia="Roboto" w:hAnsi="Roboto" w:cs="Roboto"/>
          <w:sz w:val="20"/>
          <w:szCs w:val="20"/>
          <w:lang w:val="en-US"/>
        </w:rPr>
        <w:t>favour</w:t>
      </w:r>
      <w:proofErr w:type="spellEnd"/>
      <w:r>
        <w:rPr>
          <w:rFonts w:ascii="Roboto" w:eastAsia="Roboto" w:hAnsi="Roboto" w:cs="Roboto"/>
          <w:sz w:val="20"/>
          <w:szCs w:val="20"/>
          <w:lang w:val="en-US"/>
        </w:rPr>
        <w:t xml:space="preserve"> of transparent partnerships grounded in respect for partner sovereignty. This means contracts with clear, market-standard terms; beneficial-ownership disclosure; financing that doesn't create unsustainable debt; and explicit safeguards preventing unnotified conversion of commercial facilities to military or intelligence purposes. The Quad Transparency Code operationalizes this commitment.</w:t>
      </w:r>
      <w:r>
        <w:rPr>
          <w:rFonts w:ascii="Roboto" w:eastAsia="Roboto" w:hAnsi="Roboto" w:cs="Roboto"/>
          <w:sz w:val="20"/>
          <w:szCs w:val="20"/>
          <w:lang w:val="en-US"/>
        </w:rPr>
        <w:br/>
      </w:r>
    </w:p>
    <w:p w14:paraId="76869608" w14:textId="3CBC138F" w:rsidR="006B14D6" w:rsidRDefault="00086EBB">
      <w:pPr>
        <w:pStyle w:val="Body"/>
        <w:spacing w:before="240" w:after="240"/>
        <w:rPr>
          <w:rFonts w:ascii="Roboto" w:eastAsia="Roboto" w:hAnsi="Roboto" w:cs="Roboto"/>
          <w:sz w:val="20"/>
          <w:szCs w:val="20"/>
        </w:rPr>
      </w:pPr>
      <w:r>
        <w:rPr>
          <w:rFonts w:ascii="Roboto" w:eastAsia="Roboto" w:hAnsi="Roboto" w:cs="Roboto"/>
          <w:b/>
          <w:bCs/>
          <w:sz w:val="20"/>
          <w:szCs w:val="20"/>
          <w:lang w:val="en-US"/>
        </w:rPr>
        <w:t>Technology works better with institutional integration</w:t>
      </w:r>
      <w:r>
        <w:rPr>
          <w:rFonts w:ascii="Roboto" w:eastAsia="Roboto" w:hAnsi="Roboto" w:cs="Roboto"/>
          <w:sz w:val="20"/>
          <w:szCs w:val="20"/>
        </w:rPr>
        <w:br/>
      </w:r>
      <w:r w:rsidR="00000000">
        <w:rPr>
          <w:rFonts w:ascii="Roboto" w:eastAsia="Roboto" w:hAnsi="Roboto" w:cs="Roboto"/>
          <w:sz w:val="20"/>
          <w:szCs w:val="20"/>
          <w:lang w:val="en-US"/>
        </w:rPr>
        <w:t xml:space="preserve"> Ports of the future require enforcement architectures where port authorities, customs agencies, immigration authorities, coast guards, and law-enforcement bodies operate on integrated platforms with clear data-sharing protocols, written agreements, and audit trails. The core questions are political, not technical: How much data can commercial operators be required to share? For how long? Under what circumstances? What protections apply? The Quad can establish minimum standards for baseline interoperability while allowing national implementation flexibility through a Quad Port Security Framework.</w:t>
      </w:r>
    </w:p>
    <w:p w14:paraId="2436995C" w14:textId="690F3D21" w:rsidR="006B14D6" w:rsidRDefault="00000000">
      <w:pPr>
        <w:pStyle w:val="Body"/>
        <w:spacing w:before="240" w:after="240"/>
        <w:rPr>
          <w:rFonts w:ascii="Roboto" w:eastAsia="Roboto" w:hAnsi="Roboto" w:cs="Roboto"/>
          <w:sz w:val="20"/>
          <w:szCs w:val="20"/>
        </w:rPr>
      </w:pPr>
      <w:r>
        <w:rPr>
          <w:rFonts w:ascii="Roboto" w:eastAsia="Roboto" w:hAnsi="Roboto" w:cs="Roboto"/>
          <w:b/>
          <w:bCs/>
          <w:sz w:val="20"/>
          <w:szCs w:val="20"/>
          <w:lang w:val="en-US"/>
        </w:rPr>
        <w:t>Why modularity beats comprehensive system</w:t>
      </w:r>
      <w:r w:rsidR="00086EBB">
        <w:rPr>
          <w:rFonts w:ascii="Roboto" w:eastAsia="Roboto" w:hAnsi="Roboto" w:cs="Roboto"/>
          <w:b/>
          <w:bCs/>
          <w:sz w:val="20"/>
          <w:szCs w:val="20"/>
          <w:lang w:val="en-US"/>
        </w:rPr>
        <w:t>s</w:t>
      </w:r>
      <w:r w:rsidR="00086EBB">
        <w:rPr>
          <w:rFonts w:ascii="Roboto" w:eastAsia="Roboto" w:hAnsi="Roboto" w:cs="Roboto"/>
          <w:sz w:val="20"/>
          <w:szCs w:val="20"/>
          <w:lang w:val="en-US"/>
        </w:rPr>
        <w:br/>
      </w:r>
      <w:r>
        <w:rPr>
          <w:rFonts w:ascii="Roboto" w:eastAsia="Roboto" w:hAnsi="Roboto" w:cs="Roboto"/>
          <w:sz w:val="20"/>
          <w:szCs w:val="20"/>
          <w:lang w:val="en-US"/>
        </w:rPr>
        <w:t>Conference evidence from the India-UAE Maitri corridor demonstrates that digital interoperability is achievable without full standardization. The critical insight: roughly 20% of data elements populate approximately 80% of trade documents. Partners need not adopt identical systems; they need systems that communicate through agreed standards and APIs. Smaller ports can adopt automation kits aligned to their actual cargo volumes and operational sophistication rather than being pressured into comprehensive system replacement. This pragmatic approach makes adoption feasible and cost-effective.</w:t>
      </w:r>
    </w:p>
    <w:p w14:paraId="5DA619D7" w14:textId="3D8FD1C3" w:rsidR="006B14D6" w:rsidRPr="00086EBB" w:rsidRDefault="00000000">
      <w:pPr>
        <w:pStyle w:val="Body"/>
        <w:spacing w:before="240" w:after="240"/>
        <w:rPr>
          <w:rFonts w:ascii="Roboto" w:eastAsia="Roboto" w:hAnsi="Roboto" w:cs="Roboto"/>
          <w:sz w:val="20"/>
          <w:szCs w:val="20"/>
        </w:rPr>
      </w:pPr>
      <w:r>
        <w:rPr>
          <w:rFonts w:ascii="Roboto" w:eastAsia="Roboto" w:hAnsi="Roboto" w:cs="Roboto"/>
          <w:b/>
          <w:bCs/>
          <w:sz w:val="20"/>
          <w:szCs w:val="20"/>
          <w:lang w:val="en-US"/>
        </w:rPr>
        <w:t>Real operational evidence of what works</w:t>
      </w:r>
      <w:r w:rsidR="00086EBB">
        <w:rPr>
          <w:rFonts w:ascii="Roboto" w:eastAsia="Roboto" w:hAnsi="Roboto" w:cs="Roboto"/>
          <w:sz w:val="20"/>
          <w:szCs w:val="20"/>
        </w:rPr>
        <w:br/>
      </w:r>
      <w:r>
        <w:rPr>
          <w:rFonts w:ascii="Roboto" w:eastAsia="Roboto" w:hAnsi="Roboto" w:cs="Roboto"/>
          <w:sz w:val="20"/>
          <w:szCs w:val="20"/>
          <w:lang w:val="en-US"/>
        </w:rPr>
        <w:t xml:space="preserve">JNPA's Container Port Performance Index ranking rose from 96th (2023) to 23rd (2024) the steepest single-year improvement for a port of its size, </w:t>
      </w:r>
      <w:r w:rsidR="00086EBB">
        <w:rPr>
          <w:rFonts w:ascii="Roboto" w:eastAsia="Roboto" w:hAnsi="Roboto" w:cs="Roboto"/>
          <w:sz w:val="20"/>
          <w:szCs w:val="20"/>
          <w:lang w:val="en-US"/>
        </w:rPr>
        <w:t xml:space="preserve">through </w:t>
      </w:r>
      <w:r>
        <w:rPr>
          <w:rFonts w:ascii="Roboto" w:eastAsia="Roboto" w:hAnsi="Roboto" w:cs="Roboto"/>
          <w:sz w:val="20"/>
          <w:szCs w:val="20"/>
          <w:lang w:val="en-US"/>
        </w:rPr>
        <w:t xml:space="preserve">benchmarking, </w:t>
      </w:r>
      <w:r w:rsidR="00086EBB">
        <w:rPr>
          <w:rFonts w:ascii="Roboto" w:eastAsia="Roboto" w:hAnsi="Roboto" w:cs="Roboto"/>
          <w:sz w:val="20"/>
          <w:szCs w:val="20"/>
          <w:lang w:val="en-US"/>
        </w:rPr>
        <w:t xml:space="preserve">strategic investment and </w:t>
      </w:r>
      <w:r>
        <w:rPr>
          <w:rFonts w:ascii="Roboto" w:eastAsia="Roboto" w:hAnsi="Roboto" w:cs="Roboto"/>
          <w:sz w:val="20"/>
          <w:szCs w:val="20"/>
          <w:lang w:val="en-US"/>
        </w:rPr>
        <w:t>operational focus, and access to global best practices. The Maitri corridor unifies customs, port authority, immigration, and financial clearance systems under a single digital framework, targeting 30-50% reduction in transaction costs and 40-60% reduction in vessel turnaround times. This bilateral corridor's lessons apply directly to Quad-scale cooperation: interoperability is achievable when there's political will, modular integration approaches work better than comprehensive system replacement, and transaction cost savings are real and quantifiable.</w:t>
      </w:r>
    </w:p>
    <w:p w14:paraId="3D21B229" w14:textId="4DA5FBBE" w:rsidR="005A7438" w:rsidRPr="005A7438" w:rsidRDefault="00000000" w:rsidP="005A7438">
      <w:pPr>
        <w:pStyle w:val="Body"/>
        <w:spacing w:before="240" w:after="240"/>
        <w:rPr>
          <w:rFonts w:ascii="Roboto" w:eastAsia="Roboto" w:hAnsi="Roboto" w:cs="Roboto"/>
          <w:sz w:val="20"/>
          <w:szCs w:val="20"/>
          <w:lang w:val="en-US"/>
        </w:rPr>
      </w:pPr>
      <w:r>
        <w:rPr>
          <w:rFonts w:ascii="Roboto" w:eastAsia="Roboto" w:hAnsi="Roboto" w:cs="Roboto"/>
          <w:b/>
          <w:bCs/>
          <w:sz w:val="20"/>
          <w:szCs w:val="20"/>
          <w:lang w:val="en-US"/>
        </w:rPr>
        <w:t>India's dual role</w:t>
      </w:r>
      <w:r w:rsidR="005A7438">
        <w:rPr>
          <w:rFonts w:ascii="Roboto" w:eastAsia="Roboto" w:hAnsi="Roboto" w:cs="Roboto"/>
          <w:sz w:val="20"/>
          <w:szCs w:val="20"/>
        </w:rPr>
        <w:t xml:space="preserve"> </w:t>
      </w:r>
      <w:r w:rsidR="005A7438">
        <w:rPr>
          <w:rFonts w:ascii="Roboto" w:eastAsia="Roboto" w:hAnsi="Roboto" w:cs="Roboto"/>
          <w:b/>
          <w:bCs/>
          <w:sz w:val="20"/>
          <w:szCs w:val="20"/>
        </w:rPr>
        <w:t>as an anchor and strategic partner</w:t>
      </w:r>
      <w:r w:rsidR="00086EBB">
        <w:rPr>
          <w:rFonts w:ascii="Roboto" w:eastAsia="Roboto" w:hAnsi="Roboto" w:cs="Roboto"/>
          <w:sz w:val="20"/>
          <w:szCs w:val="20"/>
        </w:rPr>
        <w:br/>
      </w:r>
      <w:bookmarkStart w:id="4" w:name="_x1qizj9e9qhi"/>
      <w:bookmarkEnd w:id="4"/>
      <w:r w:rsidR="005A7438" w:rsidRPr="005A7438">
        <w:rPr>
          <w:rFonts w:ascii="Roboto" w:eastAsia="Roboto" w:hAnsi="Roboto" w:cs="Roboto"/>
          <w:sz w:val="20"/>
          <w:szCs w:val="20"/>
          <w:lang w:val="en-US"/>
        </w:rPr>
        <w:t xml:space="preserve">India's geographic centrality, large port network, and proven digital platforms such as ULIP and NLP </w:t>
      </w:r>
      <w:r w:rsidR="005A7438" w:rsidRPr="005A7438">
        <w:rPr>
          <w:rFonts w:ascii="Roboto" w:eastAsia="Roboto" w:hAnsi="Roboto" w:cs="Roboto"/>
          <w:sz w:val="20"/>
          <w:szCs w:val="20"/>
          <w:lang w:val="en-US"/>
        </w:rPr>
        <w:lastRenderedPageBreak/>
        <w:t>position it as a natural coordinator for regional integration. However, India's participation depends on three conditions being met: substantial financing that reflects the scale of modernization required; access to advanced technology and operational expertise that enhances rather than constrains India's autonomy; and security frameworks that address India's legitimate concerns about port vulnerabilities and dual-use risks in the Indo-Pacific context.</w:t>
      </w:r>
    </w:p>
    <w:p w14:paraId="62D56341" w14:textId="2FEAC1B1" w:rsidR="005A7438" w:rsidRDefault="005A7438" w:rsidP="005A7438">
      <w:pPr>
        <w:pStyle w:val="Body"/>
        <w:spacing w:before="240" w:after="240"/>
        <w:rPr>
          <w:rFonts w:ascii="Roboto" w:eastAsia="Roboto" w:hAnsi="Roboto" w:cs="Roboto"/>
          <w:sz w:val="20"/>
          <w:szCs w:val="20"/>
          <w:lang w:val="en-US"/>
        </w:rPr>
      </w:pPr>
      <w:r w:rsidRPr="005A7438">
        <w:rPr>
          <w:rFonts w:ascii="Roboto" w:eastAsia="Roboto" w:hAnsi="Roboto" w:cs="Roboto"/>
          <w:sz w:val="20"/>
          <w:szCs w:val="20"/>
          <w:lang w:val="en-US"/>
        </w:rPr>
        <w:t>The next two to three years are decisive. This period aligns announced Quad financing windows with concrete Indian port projects (</w:t>
      </w:r>
      <w:proofErr w:type="spellStart"/>
      <w:r w:rsidRPr="005A7438">
        <w:rPr>
          <w:rFonts w:ascii="Roboto" w:eastAsia="Roboto" w:hAnsi="Roboto" w:cs="Roboto"/>
          <w:sz w:val="20"/>
          <w:szCs w:val="20"/>
          <w:lang w:val="en-US"/>
        </w:rPr>
        <w:t>Vadhavan</w:t>
      </w:r>
      <w:proofErr w:type="spellEnd"/>
      <w:r w:rsidRPr="005A7438">
        <w:rPr>
          <w:rFonts w:ascii="Roboto" w:eastAsia="Roboto" w:hAnsi="Roboto" w:cs="Roboto"/>
          <w:sz w:val="20"/>
          <w:szCs w:val="20"/>
          <w:lang w:val="en-US"/>
        </w:rPr>
        <w:t xml:space="preserve">, </w:t>
      </w:r>
      <w:proofErr w:type="spellStart"/>
      <w:r w:rsidRPr="005A7438">
        <w:rPr>
          <w:rFonts w:ascii="Roboto" w:eastAsia="Roboto" w:hAnsi="Roboto" w:cs="Roboto"/>
          <w:sz w:val="20"/>
          <w:szCs w:val="20"/>
          <w:lang w:val="en-US"/>
        </w:rPr>
        <w:t>Vizhinjam</w:t>
      </w:r>
      <w:proofErr w:type="spellEnd"/>
      <w:r w:rsidRPr="005A7438">
        <w:rPr>
          <w:rFonts w:ascii="Roboto" w:eastAsia="Roboto" w:hAnsi="Roboto" w:cs="Roboto"/>
          <w:sz w:val="20"/>
          <w:szCs w:val="20"/>
          <w:lang w:val="en-US"/>
        </w:rPr>
        <w:t xml:space="preserve"> scaling, east coast upgrades). Success requires more than aspirational frameworks</w:t>
      </w:r>
      <w:r>
        <w:rPr>
          <w:rFonts w:ascii="Roboto" w:eastAsia="Roboto" w:hAnsi="Roboto" w:cs="Roboto"/>
          <w:sz w:val="20"/>
          <w:szCs w:val="20"/>
          <w:lang w:val="en-US"/>
        </w:rPr>
        <w:t xml:space="preserve">, </w:t>
      </w:r>
      <w:r w:rsidRPr="005A7438">
        <w:rPr>
          <w:rFonts w:ascii="Roboto" w:eastAsia="Roboto" w:hAnsi="Roboto" w:cs="Roboto"/>
          <w:sz w:val="20"/>
          <w:szCs w:val="20"/>
          <w:lang w:val="en-US"/>
        </w:rPr>
        <w:t>it demands visible project delivery: financial close, ground-breaking, initial capacity delivery, and orders placed with Quad-linked shipyards. Equally important, the Quad must demonstrate it can accommodate India's strategic autonomy on technology choices and security governance, not impose standardized solutions that override national interests.</w:t>
      </w:r>
    </w:p>
    <w:p w14:paraId="4E927A96" w14:textId="73B7877B" w:rsidR="006B14D6" w:rsidRDefault="00000000" w:rsidP="005A7438">
      <w:pPr>
        <w:pStyle w:val="Body"/>
        <w:spacing w:before="240" w:after="240"/>
        <w:rPr>
          <w:rFonts w:ascii="Roboto" w:eastAsia="Roboto" w:hAnsi="Roboto" w:cs="Roboto"/>
          <w:b/>
          <w:bCs/>
          <w:sz w:val="26"/>
          <w:szCs w:val="26"/>
        </w:rPr>
      </w:pPr>
      <w:r>
        <w:rPr>
          <w:rFonts w:ascii="Roboto" w:eastAsia="Roboto" w:hAnsi="Roboto" w:cs="Roboto"/>
          <w:b/>
          <w:bCs/>
          <w:sz w:val="26"/>
          <w:szCs w:val="26"/>
        </w:rPr>
        <w:t>1</w:t>
      </w:r>
      <w:r>
        <w:rPr>
          <w:rFonts w:ascii="Roboto" w:eastAsia="Roboto" w:hAnsi="Roboto" w:cs="Roboto"/>
          <w:b/>
          <w:bCs/>
          <w:sz w:val="26"/>
          <w:szCs w:val="26"/>
          <w:lang w:val="en-US"/>
        </w:rPr>
        <w:t>. From Declarations to Delivery</w:t>
      </w:r>
    </w:p>
    <w:p w14:paraId="6475A295"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 xml:space="preserve">The Quad Leaders' Summit held in Wilmington, Delaware on September 21, </w:t>
      </w:r>
      <w:proofErr w:type="gramStart"/>
      <w:r>
        <w:rPr>
          <w:rFonts w:ascii="Roboto" w:eastAsia="Roboto" w:hAnsi="Roboto" w:cs="Roboto"/>
          <w:sz w:val="20"/>
          <w:szCs w:val="20"/>
          <w:lang w:val="en-US"/>
        </w:rPr>
        <w:t>2024</w:t>
      </w:r>
      <w:proofErr w:type="gramEnd"/>
      <w:r>
        <w:rPr>
          <w:rFonts w:ascii="Roboto" w:eastAsia="Roboto" w:hAnsi="Roboto" w:cs="Roboto"/>
          <w:sz w:val="20"/>
          <w:szCs w:val="20"/>
          <w:lang w:val="en-US"/>
        </w:rPr>
        <w:t xml:space="preserve"> adopted the Wilmington Declaration, which established the Ports of the Future Partnership as a signature Quad connectivity initiative, alongside undersea cables and maritime domain awareness. The July 1, </w:t>
      </w:r>
      <w:proofErr w:type="gramStart"/>
      <w:r>
        <w:rPr>
          <w:rFonts w:ascii="Roboto" w:eastAsia="Roboto" w:hAnsi="Roboto" w:cs="Roboto"/>
          <w:sz w:val="20"/>
          <w:szCs w:val="20"/>
          <w:lang w:val="en-US"/>
        </w:rPr>
        <w:t>2025</w:t>
      </w:r>
      <w:proofErr w:type="gramEnd"/>
      <w:r>
        <w:rPr>
          <w:rFonts w:ascii="Roboto" w:eastAsia="Roboto" w:hAnsi="Roboto" w:cs="Roboto"/>
          <w:sz w:val="20"/>
          <w:szCs w:val="20"/>
          <w:lang w:val="en-US"/>
        </w:rPr>
        <w:t xml:space="preserve"> Quad Foreign Ministers' meeting in Washington subsequently tasked India with organizing a ports and logistics conference in Mumbai to operationalize this work. The October 2025 event, hosted by the Ananta Centre with the MEA and the Ministry of Ports, Shipping and Waterways, brought Quad countries and diverse partner states together specifically to discuss port futures under this framework for the first time.</w:t>
      </w:r>
    </w:p>
    <w:p w14:paraId="0FEB2305"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 xml:space="preserve">That shift from broad Indo-Pacific rhetoric to detailed discussions about berths, breakwaters, Application Programming </w:t>
      </w:r>
      <w:proofErr w:type="gramStart"/>
      <w:r>
        <w:rPr>
          <w:rFonts w:ascii="Roboto" w:eastAsia="Roboto" w:hAnsi="Roboto" w:cs="Roboto"/>
          <w:sz w:val="20"/>
          <w:szCs w:val="20"/>
          <w:lang w:val="en-US"/>
        </w:rPr>
        <w:t>Interfaces(</w:t>
      </w:r>
      <w:proofErr w:type="gramEnd"/>
      <w:r>
        <w:rPr>
          <w:rFonts w:ascii="Roboto" w:eastAsia="Roboto" w:hAnsi="Roboto" w:cs="Roboto"/>
          <w:sz w:val="20"/>
          <w:szCs w:val="20"/>
          <w:lang w:val="en-US"/>
        </w:rPr>
        <w:t>API)s and balance sheets represents the Mumbai conference's main value. It signals the Quad moving past feasibility studies into implementation and operational details. The conference agenda covered five workstreams, strategic port development and industrial linkages; infrastructure financing and coordination; digital transformation and data standards; shipbuilding and repair capacity; and port operations modernization. Each workstream identified regional achievements and specific gaps requiring coordinated Quad action.</w:t>
      </w:r>
    </w:p>
    <w:p w14:paraId="4AAB3814" w14:textId="77777777" w:rsidR="006B14D6" w:rsidRDefault="00000000">
      <w:pPr>
        <w:pStyle w:val="Heading3"/>
        <w:keepNext w:val="0"/>
        <w:keepLines w:val="0"/>
        <w:spacing w:before="280"/>
        <w:rPr>
          <w:rFonts w:ascii="Roboto" w:eastAsia="Roboto" w:hAnsi="Roboto" w:cs="Roboto"/>
          <w:b/>
          <w:bCs/>
          <w:color w:val="000000"/>
          <w:sz w:val="26"/>
          <w:szCs w:val="26"/>
          <w:u w:color="000000"/>
        </w:rPr>
      </w:pPr>
      <w:bookmarkStart w:id="5" w:name="_oczxhou50zl"/>
      <w:bookmarkEnd w:id="5"/>
      <w:r>
        <w:rPr>
          <w:rFonts w:ascii="Roboto" w:eastAsia="Roboto" w:hAnsi="Roboto" w:cs="Roboto"/>
          <w:b/>
          <w:bCs/>
          <w:color w:val="000000"/>
          <w:sz w:val="26"/>
          <w:szCs w:val="26"/>
          <w:u w:color="000000"/>
        </w:rPr>
        <w:t>2</w:t>
      </w:r>
      <w:r>
        <w:rPr>
          <w:rFonts w:ascii="Roboto" w:eastAsia="Roboto" w:hAnsi="Roboto" w:cs="Roboto"/>
          <w:b/>
          <w:bCs/>
          <w:color w:val="000000"/>
          <w:sz w:val="26"/>
          <w:szCs w:val="26"/>
          <w:u w:color="000000"/>
          <w:lang w:val="en-US"/>
        </w:rPr>
        <w:t>. Why Ports of the Future Matter Now</w:t>
      </w:r>
    </w:p>
    <w:p w14:paraId="25933920"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Historically, port infrastructure operated across distinct domains. Through the 2000s and early 2010s, containerization, bulk energy handling, and telecommunications infrastructure remained segregated with separate facilities, regulations, and operators.​</w:t>
      </w:r>
      <w:r>
        <w:rPr>
          <w:rFonts w:ascii="Roboto" w:eastAsia="Roboto" w:hAnsi="Roboto" w:cs="Roboto"/>
          <w:sz w:val="20"/>
          <w:szCs w:val="20"/>
        </w:rPr>
        <w:br/>
      </w:r>
      <w:r>
        <w:rPr>
          <w:rFonts w:ascii="Roboto" w:eastAsia="Roboto" w:hAnsi="Roboto" w:cs="Roboto"/>
          <w:sz w:val="20"/>
          <w:szCs w:val="20"/>
        </w:rPr>
        <w:br/>
      </w:r>
      <w:r>
        <w:rPr>
          <w:rFonts w:ascii="Roboto" w:eastAsia="Roboto" w:hAnsi="Roboto" w:cs="Roboto"/>
          <w:sz w:val="20"/>
          <w:szCs w:val="20"/>
          <w:lang w:val="en-US"/>
        </w:rPr>
        <w:t xml:space="preserve">The Indo-Pacific port infrastructure conversation sits at converging pressures. The first is geopolitical bifurcation. The gap between American and Chinese visions of globalization now appears in steel and concrete. Chinese-backed port projects follow a </w:t>
      </w:r>
      <w:proofErr w:type="spellStart"/>
      <w:proofErr w:type="gramStart"/>
      <w:r>
        <w:rPr>
          <w:rFonts w:ascii="Roboto" w:eastAsia="Roboto" w:hAnsi="Roboto" w:cs="Roboto"/>
          <w:sz w:val="20"/>
          <w:szCs w:val="20"/>
          <w:lang w:val="en-US"/>
        </w:rPr>
        <w:t>pattern:opaque</w:t>
      </w:r>
      <w:proofErr w:type="spellEnd"/>
      <w:proofErr w:type="gramEnd"/>
      <w:r>
        <w:rPr>
          <w:rFonts w:ascii="Roboto" w:eastAsia="Roboto" w:hAnsi="Roboto" w:cs="Roboto"/>
          <w:sz w:val="20"/>
          <w:szCs w:val="20"/>
          <w:lang w:val="en-US"/>
        </w:rPr>
        <w:t xml:space="preserve"> contracts, hidden debt terms, gradual conversion of "commercial" facilities into security assets, and political leverage through infrastructure dependencies. Quad leaders view ports as a frontline in this competition because they're both economically strategic and politically decisive.</w:t>
      </w:r>
    </w:p>
    <w:p w14:paraId="1C033CA5"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 xml:space="preserve">Second, the energy transition now requires green bunkering infrastructure for hydrogen and ammonia fuels, physically integrating energy supply into container terminals. Digital infrastructure investment has relocated cable landing stations into port precincts themselves, shifting from specialized communication facilities to integrated data center models. The COVID-19 supply chain shock of 2020-2021 exposed the </w:t>
      </w:r>
      <w:r>
        <w:rPr>
          <w:rFonts w:ascii="Roboto" w:eastAsia="Roboto" w:hAnsi="Roboto" w:cs="Roboto"/>
          <w:sz w:val="20"/>
          <w:szCs w:val="20"/>
          <w:lang w:val="en-US"/>
        </w:rPr>
        <w:lastRenderedPageBreak/>
        <w:t>fragility of single-mode port systems, demonstrating that resilience requires multimodal integration. This compressed convergence driven simultaneously by decarbonization, digital investment, and supply chain vulnerability represents a structural inflection point fundamentally different from previous decades' incremental choices. Shipping, energy, and data no longer operate as discrete sectors. Container terminals now sit alongside Liquified Natural Gas (LNG) facilities, green-fuel bunkering infrastructure, and undersea cable landing stations. A single port may handle containerized cargo, bulk energy commodities, data traffic, and support maritime security operations. Choices made now about operators, standards, and data access will determine how open or closed Indo-Pacific trade looks over the next decade.</w:t>
      </w:r>
    </w:p>
    <w:p w14:paraId="433A4C60"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 xml:space="preserve">The third pressure is India-specific but carries region-wide implications. India's port infrastructure and shipbuilding capacity remain structural constraints on export potential and industrial ambitions. Despite visible gains at facilities like Jawaharlal Nehru Port Authority (JNPA) and </w:t>
      </w:r>
      <w:proofErr w:type="spellStart"/>
      <w:r>
        <w:rPr>
          <w:rFonts w:ascii="Roboto" w:eastAsia="Roboto" w:hAnsi="Roboto" w:cs="Roboto"/>
          <w:sz w:val="20"/>
          <w:szCs w:val="20"/>
          <w:lang w:val="en-US"/>
        </w:rPr>
        <w:t>Vizhinjam</w:t>
      </w:r>
      <w:proofErr w:type="spellEnd"/>
      <w:r>
        <w:rPr>
          <w:rFonts w:ascii="Roboto" w:eastAsia="Roboto" w:hAnsi="Roboto" w:cs="Roboto"/>
          <w:sz w:val="20"/>
          <w:szCs w:val="20"/>
          <w:lang w:val="en-US"/>
        </w:rPr>
        <w:t>, India still pays a logistics penalty: approximately 75 % of India's containerized transshipment cargo—nearly 25 % of all Indian containers—leaks to regional transshipment hubs, primarily Colombo (handling 45 % of this traffic), Singapore, Port Klang (Malaysia), and smaller hubs like Salalah and Tanjung Pelepas. This dependency costs Indian ports $200-220 million annually in lost transshipment revenues. Hinterland connections remain uneven, and industrial clusters cannot fully integrate into global shipping networks.​</w:t>
      </w:r>
    </w:p>
    <w:p w14:paraId="2E90CED3"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The roots of this infrastructure deficit trace to what the Indian Navy characterizes as "</w:t>
      </w:r>
      <w:proofErr w:type="spellStart"/>
      <w:r>
        <w:rPr>
          <w:rFonts w:ascii="Roboto" w:eastAsia="Roboto" w:hAnsi="Roboto" w:cs="Roboto"/>
          <w:sz w:val="20"/>
          <w:szCs w:val="20"/>
          <w:lang w:val="en-US"/>
        </w:rPr>
        <w:t>seablindness</w:t>
      </w:r>
      <w:proofErr w:type="spellEnd"/>
      <w:r>
        <w:rPr>
          <w:rFonts w:ascii="Roboto" w:eastAsia="Roboto" w:hAnsi="Roboto" w:cs="Roboto"/>
          <w:sz w:val="20"/>
          <w:szCs w:val="20"/>
          <w:lang w:val="en-US"/>
        </w:rPr>
        <w:t>"—a pattern of systemic, politico-bureaucratic neglect of maritime domains spanning centuries. Colonial rule dismantled India's pre-colonial maritime identity and naval prowess; post-independence, governments prioritized continental development over ocean-oriented growth, with explicit national maritime policy delayed until 2010. This continental orientation persisted despite India's geographic position on three coasts and the dependence of 95 % of its trade by volume on the Indian Ocean. Successive governments treated port infrastructure as secondary infrastructure relative to terrestrial connectivity, creating the very capacity constraints that push Indian cargo toward foreign hubs.​</w:t>
      </w:r>
    </w:p>
    <w:p w14:paraId="045B473A"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 xml:space="preserve">Maritime India Vision 2030 and PM Gati Shakti map the infrastructure pathway; projects like JNPA and </w:t>
      </w:r>
      <w:proofErr w:type="spellStart"/>
      <w:r>
        <w:rPr>
          <w:rFonts w:ascii="Roboto" w:eastAsia="Roboto" w:hAnsi="Roboto" w:cs="Roboto"/>
          <w:sz w:val="20"/>
          <w:szCs w:val="20"/>
          <w:lang w:val="en-US"/>
        </w:rPr>
        <w:t>Vizhinjam</w:t>
      </w:r>
      <w:proofErr w:type="spellEnd"/>
      <w:r>
        <w:rPr>
          <w:rFonts w:ascii="Roboto" w:eastAsia="Roboto" w:hAnsi="Roboto" w:cs="Roboto"/>
          <w:sz w:val="20"/>
          <w:szCs w:val="20"/>
          <w:lang w:val="en-US"/>
        </w:rPr>
        <w:t xml:space="preserve"> demonstrate what is achievable with better design, digital platforms, and credible operators. The missing element is scale: sustained capital mobilization, operationalized shipbuilding capacity, and interoperable standards aligned with trading partners.</w:t>
      </w:r>
    </w:p>
    <w:p w14:paraId="3CC835FE"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For the broader Indo-Pacific, this infrastructure gap translates into foreclosed economic opportunity. Developing countries with inadequate port capacity miss export markets, face higher import costs, and can't attract manufacturing investment dependent on reliable shipping links. The Asian Development Bank (ADB) estimates an annual infrastructure deficit for Asia in the hundreds of billions, cumulative to trillions by 2040. Ports account for a significant fraction of this gap, and it matters because 80% of global trade by volume moves by sea, with over 60% of maritime trade transiting Asia.</w:t>
      </w:r>
    </w:p>
    <w:p w14:paraId="67CC1468" w14:textId="77777777" w:rsidR="006B14D6" w:rsidRDefault="00000000">
      <w:pPr>
        <w:pStyle w:val="Heading3"/>
        <w:keepNext w:val="0"/>
        <w:keepLines w:val="0"/>
        <w:spacing w:before="280"/>
        <w:rPr>
          <w:rFonts w:ascii="Roboto" w:eastAsia="Roboto" w:hAnsi="Roboto" w:cs="Roboto"/>
          <w:b/>
          <w:bCs/>
          <w:color w:val="000000"/>
          <w:sz w:val="26"/>
          <w:szCs w:val="26"/>
          <w:u w:color="000000"/>
        </w:rPr>
      </w:pPr>
      <w:bookmarkStart w:id="6" w:name="_o5jv4q3x4x4"/>
      <w:bookmarkEnd w:id="6"/>
      <w:r>
        <w:rPr>
          <w:rFonts w:ascii="Roboto" w:eastAsia="Roboto" w:hAnsi="Roboto" w:cs="Roboto"/>
          <w:b/>
          <w:bCs/>
          <w:color w:val="000000"/>
          <w:sz w:val="26"/>
          <w:szCs w:val="26"/>
          <w:u w:color="000000"/>
        </w:rPr>
        <w:t>3</w:t>
      </w:r>
      <w:r>
        <w:rPr>
          <w:rFonts w:ascii="Roboto" w:eastAsia="Roboto" w:hAnsi="Roboto" w:cs="Roboto"/>
          <w:b/>
          <w:bCs/>
          <w:color w:val="000000"/>
          <w:sz w:val="26"/>
          <w:szCs w:val="26"/>
          <w:u w:color="000000"/>
          <w:lang w:val="en-US"/>
        </w:rPr>
        <w:t>. What Each Quad Country Brings</w:t>
      </w:r>
    </w:p>
    <w:p w14:paraId="1B37D065"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 xml:space="preserve">The Quad's port development approach assumes no single member possesses all capabilities needed to design, finance, build, and operate world-class future-ready ports for the Indo-Pacific. Each country brings distinct strengths and faces </w:t>
      </w:r>
      <w:proofErr w:type="gramStart"/>
      <w:r>
        <w:rPr>
          <w:rFonts w:ascii="Roboto" w:eastAsia="Roboto" w:hAnsi="Roboto" w:cs="Roboto"/>
          <w:sz w:val="20"/>
          <w:szCs w:val="20"/>
          <w:lang w:val="en-US"/>
        </w:rPr>
        <w:t>particular constraints</w:t>
      </w:r>
      <w:proofErr w:type="gramEnd"/>
      <w:r>
        <w:rPr>
          <w:rFonts w:ascii="Roboto" w:eastAsia="Roboto" w:hAnsi="Roboto" w:cs="Roboto"/>
          <w:sz w:val="20"/>
          <w:szCs w:val="20"/>
          <w:lang w:val="en-US"/>
        </w:rPr>
        <w:t>. The Partnership's value lies in combining and complimenting capabilities rather than duplicating roles.</w:t>
      </w:r>
    </w:p>
    <w:p w14:paraId="47427AC6" w14:textId="77777777" w:rsidR="006B14D6" w:rsidRDefault="00000000">
      <w:pPr>
        <w:pStyle w:val="Body"/>
        <w:spacing w:before="240" w:after="240"/>
        <w:rPr>
          <w:rFonts w:ascii="Roboto" w:eastAsia="Roboto" w:hAnsi="Roboto" w:cs="Roboto"/>
          <w:b/>
          <w:bCs/>
          <w:sz w:val="20"/>
          <w:szCs w:val="20"/>
        </w:rPr>
      </w:pPr>
      <w:r>
        <w:rPr>
          <w:rFonts w:ascii="Roboto" w:eastAsia="Roboto" w:hAnsi="Roboto" w:cs="Roboto"/>
          <w:b/>
          <w:bCs/>
          <w:sz w:val="20"/>
          <w:szCs w:val="20"/>
          <w:lang w:val="en-US"/>
        </w:rPr>
        <w:t>India’s role</w:t>
      </w:r>
    </w:p>
    <w:p w14:paraId="5C6CCDBA"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lastRenderedPageBreak/>
        <w:t xml:space="preserve">India's position in this architecture is both central and complex. It controls geographic centrality in the Indian Ocean, hosts one of the world's largest and most diverse port networks, and has accumulated significant experience with concessional lines of credit, development finance instruments, and public digital infrastructure. In India, the ULIP (Unified Logistics Interface Platform) connects 40 systems across 11 ministries and over 1,300 companies. The NLP (National Logistics Portal) Marine platform standardizes customs, cargo handling, and documentation across 75 operational ports spanning 7,000 miles. These platforms demonstrate India's capacity to design and operate integration solutions at scale. India's political capacity to convene partners, particularly Pacific Island nations and African states also </w:t>
      </w:r>
      <w:proofErr w:type="gramStart"/>
      <w:r>
        <w:rPr>
          <w:rFonts w:ascii="Roboto" w:eastAsia="Roboto" w:hAnsi="Roboto" w:cs="Roboto"/>
          <w:sz w:val="20"/>
          <w:szCs w:val="20"/>
          <w:lang w:val="en-US"/>
        </w:rPr>
        <w:t>anchors</w:t>
      </w:r>
      <w:proofErr w:type="gramEnd"/>
      <w:r>
        <w:rPr>
          <w:rFonts w:ascii="Roboto" w:eastAsia="Roboto" w:hAnsi="Roboto" w:cs="Roboto"/>
          <w:sz w:val="20"/>
          <w:szCs w:val="20"/>
          <w:lang w:val="en-US"/>
        </w:rPr>
        <w:t xml:space="preserve"> the Partnership's geographic reach.</w:t>
      </w:r>
    </w:p>
    <w:p w14:paraId="551D4391"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 xml:space="preserve">India's constraints are equally clear. Capacity remains unevenly distributed across </w:t>
      </w:r>
      <w:proofErr w:type="gramStart"/>
      <w:r>
        <w:rPr>
          <w:rFonts w:ascii="Roboto" w:eastAsia="Roboto" w:hAnsi="Roboto" w:cs="Roboto"/>
          <w:sz w:val="20"/>
          <w:szCs w:val="20"/>
          <w:lang w:val="en-US"/>
        </w:rPr>
        <w:t>coasts;</w:t>
      </w:r>
      <w:proofErr w:type="gramEnd"/>
      <w:r>
        <w:rPr>
          <w:rFonts w:ascii="Roboto" w:eastAsia="Roboto" w:hAnsi="Roboto" w:cs="Roboto"/>
          <w:sz w:val="20"/>
          <w:szCs w:val="20"/>
          <w:lang w:val="en-US"/>
        </w:rPr>
        <w:t xml:space="preserve"> relatively weaker container and transshipment capacity on the east coast drives cargo to foreign hubs rather than Indian terminals. Logistics costs as a share of GDP remain high and fragmented across state jurisdictions and ministries, and hinterland road–rail connectivity does not yet match India’</w:t>
      </w:r>
      <w:r>
        <w:rPr>
          <w:rFonts w:ascii="Roboto" w:eastAsia="Roboto" w:hAnsi="Roboto" w:cs="Roboto"/>
          <w:sz w:val="20"/>
          <w:szCs w:val="20"/>
          <w:lang w:val="fr-FR"/>
        </w:rPr>
        <w:t xml:space="preserve">s export ambitions. </w:t>
      </w:r>
      <w:proofErr w:type="spellStart"/>
      <w:r>
        <w:rPr>
          <w:rFonts w:ascii="Roboto" w:eastAsia="Roboto" w:hAnsi="Roboto" w:cs="Roboto"/>
          <w:sz w:val="20"/>
          <w:szCs w:val="20"/>
          <w:lang w:val="fr-FR"/>
        </w:rPr>
        <w:t>India</w:t>
      </w:r>
      <w:proofErr w:type="spellEnd"/>
      <w:r>
        <w:rPr>
          <w:rFonts w:ascii="Roboto" w:eastAsia="Roboto" w:hAnsi="Roboto" w:cs="Roboto"/>
          <w:sz w:val="20"/>
          <w:szCs w:val="20"/>
          <w:lang w:val="en-US"/>
        </w:rPr>
        <w:t>’s shipbuilding base is expanding but is still reacting to orders rather than shaping demand, leaving a gap between industrial strategy and actual fleet composition. The value of the Quad in this context lies not in generic “support,” but in distinct, complementary capabilities that map directly onto these bottlenecks.</w:t>
      </w:r>
    </w:p>
    <w:p w14:paraId="5EB5FA33" w14:textId="77777777" w:rsidR="006B14D6" w:rsidRDefault="006B14D6">
      <w:pPr>
        <w:pStyle w:val="Body"/>
        <w:spacing w:before="240" w:after="240"/>
        <w:rPr>
          <w:rFonts w:ascii="Roboto" w:eastAsia="Roboto" w:hAnsi="Roboto" w:cs="Roboto"/>
          <w:sz w:val="20"/>
          <w:szCs w:val="20"/>
        </w:rPr>
      </w:pPr>
    </w:p>
    <w:p w14:paraId="064C5F48" w14:textId="77777777" w:rsidR="006B14D6" w:rsidRDefault="00000000">
      <w:pPr>
        <w:pStyle w:val="Body"/>
        <w:spacing w:before="240" w:after="240"/>
        <w:rPr>
          <w:rFonts w:ascii="Roboto" w:eastAsia="Roboto" w:hAnsi="Roboto" w:cs="Roboto"/>
          <w:b/>
          <w:bCs/>
          <w:sz w:val="20"/>
          <w:szCs w:val="20"/>
        </w:rPr>
      </w:pPr>
      <w:r>
        <w:rPr>
          <w:rFonts w:ascii="Roboto" w:eastAsia="Roboto" w:hAnsi="Roboto" w:cs="Roboto"/>
          <w:b/>
          <w:bCs/>
          <w:sz w:val="20"/>
          <w:szCs w:val="20"/>
        </w:rPr>
        <w:t>Japan</w:t>
      </w:r>
      <w:r>
        <w:rPr>
          <w:rFonts w:ascii="Roboto" w:eastAsia="Roboto" w:hAnsi="Roboto" w:cs="Roboto"/>
          <w:b/>
          <w:bCs/>
          <w:sz w:val="20"/>
          <w:szCs w:val="20"/>
          <w:lang w:val="en-US"/>
        </w:rPr>
        <w:t>’s role</w:t>
      </w:r>
    </w:p>
    <w:p w14:paraId="3AEFFE16"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 xml:space="preserve">Japan brings both intellectual framing and long-standing operational experience. The Free and Open Indo-Pacific (FOIP) concept emerged from Japanese strategic thinking in the late 2000s and 2010s and subsequently became the Quad’s shared vocabulary for rules-based connectivity. Over several decades of Official Development Assistance and infrastructure finance into Southeast Asia and the Pacific, Japanese agencies and firms have delivered major ports, bridges, and industrial corridors with a reputation for transparency, high construction standards, and environmental safeguards. Japan’s shipyards and port engineering companies are among the world’s most capable, and its experience in designing coastal infrastructure to withstand earthquakes, tsunamis, and severe storms offers directly transferable lessons for climate-resilient Indo-Pacific ports. Critically, Japanese public and private finance have had to price and </w:t>
      </w:r>
      <w:proofErr w:type="gramStart"/>
      <w:r>
        <w:rPr>
          <w:rFonts w:ascii="Roboto" w:eastAsia="Roboto" w:hAnsi="Roboto" w:cs="Roboto"/>
          <w:sz w:val="20"/>
          <w:szCs w:val="20"/>
          <w:lang w:val="en-US"/>
        </w:rPr>
        <w:t>insure</w:t>
      </w:r>
      <w:proofErr w:type="gramEnd"/>
      <w:r>
        <w:rPr>
          <w:rFonts w:ascii="Roboto" w:eastAsia="Roboto" w:hAnsi="Roboto" w:cs="Roboto"/>
          <w:sz w:val="20"/>
          <w:szCs w:val="20"/>
          <w:lang w:val="en-US"/>
        </w:rPr>
        <w:t xml:space="preserve"> infrastructure in one of the world’s most disaster‑prone maritime environments, developing risk‑sharing, insurance, and contingency-planning practices that other Quad members can adapt when structuring resilient port projects in vulnerable coastal states.</w:t>
      </w:r>
    </w:p>
    <w:p w14:paraId="23F35CEC" w14:textId="77777777" w:rsidR="006B14D6" w:rsidRDefault="00000000">
      <w:pPr>
        <w:pStyle w:val="Body"/>
        <w:spacing w:before="240" w:after="240"/>
        <w:rPr>
          <w:rFonts w:ascii="Roboto" w:eastAsia="Roboto" w:hAnsi="Roboto" w:cs="Roboto"/>
          <w:b/>
          <w:bCs/>
          <w:sz w:val="20"/>
          <w:szCs w:val="20"/>
        </w:rPr>
      </w:pPr>
      <w:r>
        <w:rPr>
          <w:rFonts w:ascii="Roboto" w:eastAsia="Roboto" w:hAnsi="Roboto" w:cs="Roboto"/>
          <w:b/>
          <w:bCs/>
          <w:sz w:val="20"/>
          <w:szCs w:val="20"/>
          <w:lang w:val="it-IT"/>
        </w:rPr>
        <w:t>Australia</w:t>
      </w:r>
      <w:r>
        <w:rPr>
          <w:rFonts w:ascii="Roboto" w:eastAsia="Roboto" w:hAnsi="Roboto" w:cs="Roboto"/>
          <w:b/>
          <w:bCs/>
          <w:sz w:val="20"/>
          <w:szCs w:val="20"/>
          <w:lang w:val="en-US"/>
        </w:rPr>
        <w:t>’s role</w:t>
      </w:r>
    </w:p>
    <w:p w14:paraId="4A4095C9" w14:textId="0B35228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it-IT"/>
        </w:rPr>
        <w:t>Australia</w:t>
      </w:r>
      <w:r>
        <w:rPr>
          <w:rFonts w:ascii="Roboto" w:eastAsia="Roboto" w:hAnsi="Roboto" w:cs="Roboto"/>
          <w:sz w:val="20"/>
          <w:szCs w:val="20"/>
          <w:lang w:val="en-US"/>
        </w:rPr>
        <w:t>’s contribution is strategically significant. It has accumulated hard-won expertise in critical infrastructure regulation and foreign investment screening, and subsequent policy reforms to address security and sovereignty concerns. That experience shows how to balance commercial capital needs with national security in port governance and due diligence. Australia also runs some of the world’s most efficient bulk export chains for iron ore, coal, and agricultural products, making its operational practices and performance benchmarks directly relevant to port productivity and hinterland integration in other resource-exporting economies. Its domestic experience embedding labor protections, Indigenous consultation, and environmental safeguards into infrastructure law and planning provides a regulatory template for locking in high-quality outcomes at the design stage, rather than attempting to retrofit “standards” after projects are built.</w:t>
      </w:r>
    </w:p>
    <w:p w14:paraId="2ABF27DF" w14:textId="77777777" w:rsidR="006B14D6" w:rsidRDefault="00000000">
      <w:pPr>
        <w:pStyle w:val="Body"/>
        <w:spacing w:before="240" w:after="240"/>
        <w:rPr>
          <w:rFonts w:ascii="Roboto" w:eastAsia="Roboto" w:hAnsi="Roboto" w:cs="Roboto"/>
          <w:b/>
          <w:bCs/>
          <w:sz w:val="20"/>
          <w:szCs w:val="20"/>
        </w:rPr>
      </w:pPr>
      <w:r>
        <w:rPr>
          <w:rFonts w:ascii="Roboto" w:eastAsia="Roboto" w:hAnsi="Roboto" w:cs="Roboto"/>
          <w:b/>
          <w:bCs/>
          <w:sz w:val="20"/>
          <w:szCs w:val="20"/>
          <w:lang w:val="en-US"/>
        </w:rPr>
        <w:lastRenderedPageBreak/>
        <w:t xml:space="preserve">United States’ </w:t>
      </w:r>
      <w:r>
        <w:rPr>
          <w:rFonts w:ascii="Roboto" w:eastAsia="Roboto" w:hAnsi="Roboto" w:cs="Roboto"/>
          <w:b/>
          <w:bCs/>
          <w:sz w:val="20"/>
          <w:szCs w:val="20"/>
        </w:rPr>
        <w:t>role</w:t>
      </w:r>
    </w:p>
    <w:p w14:paraId="0269666A"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The United States brings scale in finance, technology, and security frameworks. Agencies such as the U.S. International Development Finance Corporation (DFC) and allied export credit institutions can underwrite multi‑</w:t>
      </w:r>
      <w:r>
        <w:rPr>
          <w:rFonts w:ascii="Roboto" w:eastAsia="Roboto" w:hAnsi="Roboto" w:cs="Roboto"/>
          <w:sz w:val="20"/>
          <w:szCs w:val="20"/>
        </w:rPr>
        <w:t>billion</w:t>
      </w:r>
      <w:r>
        <w:rPr>
          <w:rFonts w:ascii="Roboto" w:eastAsia="Roboto" w:hAnsi="Roboto" w:cs="Roboto"/>
          <w:sz w:val="20"/>
          <w:szCs w:val="20"/>
          <w:lang w:val="en-US"/>
        </w:rPr>
        <w:t xml:space="preserve">‑dollar port and logistics investments and crowd in private capital at terms many developing countries cannot access alone. U.S. firms are major providers of terminal operating systems, port automation technology, logistics software, and cybersecurity solutions that underpin some of the highest-throughput ports in the world; performance data from large U.S. container gateways and automated terminals illustrates what “future-ready” operations can look like in practice. On the security side, the U.S. Navy and Coast Guard run global networks for maritime domain awareness and port </w:t>
      </w:r>
      <w:proofErr w:type="gramStart"/>
      <w:r>
        <w:rPr>
          <w:rFonts w:ascii="Roboto" w:eastAsia="Roboto" w:hAnsi="Roboto" w:cs="Roboto"/>
          <w:sz w:val="20"/>
          <w:szCs w:val="20"/>
          <w:lang w:val="en-US"/>
        </w:rPr>
        <w:t>security, and</w:t>
      </w:r>
      <w:proofErr w:type="gramEnd"/>
      <w:r>
        <w:rPr>
          <w:rFonts w:ascii="Roboto" w:eastAsia="Roboto" w:hAnsi="Roboto" w:cs="Roboto"/>
          <w:sz w:val="20"/>
          <w:szCs w:val="20"/>
          <w:lang w:val="en-US"/>
        </w:rPr>
        <w:t xml:space="preserve"> crucially do so at a scale that far exceeds most navies, including other Quad members, enabling them to pilot standards and technologies that can then be adapted by partners. At the same time, U.S. commercial shipbuilding capacity is modest relative not only to strategic demand but also to China’s enormous yard capacity. That asymmetry gives the United States a structural interest in seeing allied shipbuilding in India and Japan expand as part of a trusted industrial base, creating an incentive to invest in joint capacity rather than treat regional shipyards as competitors.</w:t>
      </w:r>
    </w:p>
    <w:p w14:paraId="208AA02A" w14:textId="77777777" w:rsidR="006B14D6" w:rsidRDefault="00000000">
      <w:pPr>
        <w:pStyle w:val="Body"/>
        <w:spacing w:before="240" w:after="240"/>
        <w:rPr>
          <w:rFonts w:ascii="Roboto" w:eastAsia="Roboto" w:hAnsi="Roboto" w:cs="Roboto"/>
          <w:b/>
          <w:bCs/>
          <w:sz w:val="20"/>
          <w:szCs w:val="20"/>
        </w:rPr>
      </w:pPr>
      <w:r>
        <w:rPr>
          <w:rFonts w:ascii="Roboto" w:eastAsia="Roboto" w:hAnsi="Roboto" w:cs="Roboto"/>
          <w:b/>
          <w:bCs/>
          <w:sz w:val="20"/>
          <w:szCs w:val="20"/>
          <w:lang w:val="en-US"/>
        </w:rPr>
        <w:t>Remaining gaps</w:t>
      </w:r>
    </w:p>
    <w:p w14:paraId="012F32D2" w14:textId="1AF76D13"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 xml:space="preserve">Taken together, these complementarities move the Quad beyond rhetoric: Japanese project design and risk management, Australian regulatory practice and bulk logistics expertise, U.S. finance, technology, and security frameworks, and India’s geography, labor force, and market size form a workable division of labor. Yet important gaps remain. </w:t>
      </w:r>
      <w:r w:rsidR="005A7438" w:rsidRPr="005A7438">
        <w:rPr>
          <w:rFonts w:ascii="Roboto" w:eastAsia="Roboto" w:hAnsi="Roboto" w:cs="Roboto"/>
          <w:sz w:val="20"/>
          <w:szCs w:val="20"/>
          <w:lang w:val="en-US"/>
        </w:rPr>
        <w:t xml:space="preserve">Interesting investment plans are developing on green hydrogen and sustainable shipping but </w:t>
      </w:r>
      <w:r w:rsidR="005A7438">
        <w:rPr>
          <w:rFonts w:ascii="Roboto" w:eastAsia="Roboto" w:hAnsi="Roboto" w:cs="Roboto"/>
          <w:sz w:val="20"/>
          <w:szCs w:val="20"/>
          <w:lang w:val="en-US"/>
        </w:rPr>
        <w:t xml:space="preserve">require </w:t>
      </w:r>
      <w:r w:rsidR="005A7438" w:rsidRPr="005A7438">
        <w:rPr>
          <w:rFonts w:ascii="Roboto" w:eastAsia="Roboto" w:hAnsi="Roboto" w:cs="Roboto"/>
          <w:sz w:val="20"/>
          <w:szCs w:val="20"/>
          <w:lang w:val="en-US"/>
        </w:rPr>
        <w:t>wider adoption</w:t>
      </w:r>
      <w:r w:rsidR="005A7438">
        <w:rPr>
          <w:rFonts w:ascii="Roboto" w:eastAsia="Roboto" w:hAnsi="Roboto" w:cs="Roboto"/>
          <w:sz w:val="20"/>
          <w:szCs w:val="20"/>
          <w:lang w:val="en-US"/>
        </w:rPr>
        <w:t xml:space="preserve">; </w:t>
      </w:r>
      <w:r>
        <w:rPr>
          <w:rFonts w:ascii="Roboto" w:eastAsia="Roboto" w:hAnsi="Roboto" w:cs="Roboto"/>
          <w:sz w:val="20"/>
          <w:szCs w:val="20"/>
          <w:lang w:val="en-US"/>
        </w:rPr>
        <w:t>digital and data standards risk defaulting to single‑country templates rather than genuinely interoperable frameworks; and shipbuilding and repair remain organized as four national industries rather than a networked ecosystem with shared specializations and load‑sharing. The Mumbai conference is best understood as an initial attempt to identify these specific gaps and sketch practical mechanisms rather than abstract aspirations for closing them.</w:t>
      </w:r>
    </w:p>
    <w:p w14:paraId="0ABD5851" w14:textId="77777777" w:rsidR="006B14D6" w:rsidRDefault="00000000">
      <w:pPr>
        <w:pStyle w:val="Heading3"/>
        <w:keepNext w:val="0"/>
        <w:keepLines w:val="0"/>
        <w:spacing w:before="280"/>
        <w:rPr>
          <w:rFonts w:ascii="Roboto" w:eastAsia="Roboto" w:hAnsi="Roboto" w:cs="Roboto"/>
          <w:b/>
          <w:bCs/>
          <w:color w:val="000000"/>
          <w:sz w:val="26"/>
          <w:szCs w:val="26"/>
          <w:u w:color="000000"/>
        </w:rPr>
      </w:pPr>
      <w:bookmarkStart w:id="7" w:name="_phhhffz8u3"/>
      <w:bookmarkEnd w:id="7"/>
      <w:r>
        <w:rPr>
          <w:rFonts w:ascii="Roboto" w:eastAsia="Roboto" w:hAnsi="Roboto" w:cs="Roboto"/>
          <w:b/>
          <w:bCs/>
          <w:color w:val="000000"/>
          <w:sz w:val="26"/>
          <w:szCs w:val="26"/>
          <w:u w:color="000000"/>
        </w:rPr>
        <w:t>4</w:t>
      </w:r>
      <w:r>
        <w:rPr>
          <w:rFonts w:ascii="Roboto" w:eastAsia="Roboto" w:hAnsi="Roboto" w:cs="Roboto"/>
          <w:b/>
          <w:bCs/>
          <w:color w:val="000000"/>
          <w:sz w:val="26"/>
          <w:szCs w:val="26"/>
          <w:u w:color="000000"/>
          <w:lang w:val="en-US"/>
        </w:rPr>
        <w:t>. Defining the Port of the Future</w:t>
      </w:r>
    </w:p>
    <w:p w14:paraId="1CF1CD7B"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Conference discussions, drawing on presentations from port operators, technology providers, development finance institutions, and government officials, converged on a "future-ready" definition combining four attribute clusters. These attributes are neither merely technical nor just aspirational. They reflect what's already operational in leading facilities and what's technically feasible given current and near-term technology.</w:t>
      </w:r>
    </w:p>
    <w:p w14:paraId="0364B38D"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The first cluster encompasses physical capacity and resilience. Future-ready ports require deep-draft berths capable of handling ultra-large container vessels and bulk carriers, modern automated terminal equipment, and operational flexibility across multiple cargo types: containers, breakbulk, automobiles, and specialized cargo. Capacity alone, however, is not sufficient. Resilience must be built into initial design rather than retrofitted. This means elevating critical infrastructure to accommodate sea-level rise and storm surge; hardening and reinforcing breakwaters and quay walls to maintain operability under higher wave energy; providing redundancy in power supply and communications; designing inland water retention and drainage to manage extreme rainfall; and configuring berths and yards to withstand cyclones and seismic activity without catastrophic downtime.</w:t>
      </w:r>
    </w:p>
    <w:p w14:paraId="4948EB78" w14:textId="091F1B14"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lastRenderedPageBreak/>
        <w:t>The second cluster is digital integration and data architecture, the Quad can achieve substantial efficiency gains without decades-long negotiation cycles required for full standardization. Future-ready ports aren't simply automated mechanically; they're digitally integrated with upstream suppliers, downstream customers, regulatory agencies, and financial services providers. Port community systems and logistics platforms must communicate through standard, open APIs rather than proprietary systems or manual data re-entry. A model to emulate for corridor-level digital integration is the India-UAE Maitri corridor, now 90 % complete. However, achieving interoperability doesn't require comprehensive harmonization of all data fields across all agencies.</w:t>
      </w:r>
    </w:p>
    <w:p w14:paraId="40AF4570" w14:textId="58CB36EC"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rPr>
        <w:t>T</w:t>
      </w:r>
      <w:r>
        <w:rPr>
          <w:rFonts w:ascii="Roboto" w:eastAsia="Roboto" w:hAnsi="Roboto" w:cs="Roboto"/>
          <w:sz w:val="20"/>
          <w:szCs w:val="20"/>
          <w:lang w:val="en-US"/>
        </w:rPr>
        <w:t>he third cluster brings together energy and environmental attributes built directly into port design. Future-ready ports integrate on-site renewable generation, shore power infrastructure to cut diesel emissions from docked vessels, and bunkering facilities for lower- and zero-carbon fuels such as LNG, methanol, and ammonia as core components of the masterplan rather than later add-ons. In practice, this means planning high-capacity electrical distribution from the outset, designing berths and manifolds to handle multiple fuel types safely, and sizing substations, storage, and grid connections to accommodate both terminal demand and vessel-side requirements</w:t>
      </w:r>
      <w:r w:rsidR="002C30E6">
        <w:rPr>
          <w:rFonts w:ascii="Roboto" w:eastAsia="Roboto" w:hAnsi="Roboto" w:cs="Roboto"/>
          <w:sz w:val="20"/>
          <w:szCs w:val="20"/>
          <w:lang w:val="en-US"/>
        </w:rPr>
        <w:t>.</w:t>
      </w:r>
      <w:r>
        <w:rPr>
          <w:rFonts w:ascii="Roboto" w:eastAsia="Roboto" w:hAnsi="Roboto" w:cs="Roboto"/>
          <w:sz w:val="20"/>
          <w:szCs w:val="20"/>
          <w:lang w:val="en-US"/>
        </w:rPr>
        <w:br/>
      </w:r>
    </w:p>
    <w:p w14:paraId="1F07C0B7"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 xml:space="preserve">The fourth cluster links ports to industrial clusters and labor market transitions. In the Quad framework, future-ready ports are not isolated terminals but anchors for auto manufacturing, </w:t>
      </w:r>
      <w:proofErr w:type="spellStart"/>
      <w:r>
        <w:rPr>
          <w:rFonts w:ascii="Roboto" w:eastAsia="Roboto" w:hAnsi="Roboto" w:cs="Roboto"/>
          <w:sz w:val="20"/>
          <w:szCs w:val="20"/>
          <w:lang w:val="en-US"/>
        </w:rPr>
        <w:t>agro</w:t>
      </w:r>
      <w:proofErr w:type="spellEnd"/>
      <w:r>
        <w:rPr>
          <w:rFonts w:ascii="Roboto" w:eastAsia="Roboto" w:hAnsi="Roboto" w:cs="Roboto"/>
          <w:sz w:val="20"/>
          <w:szCs w:val="20"/>
          <w:lang w:val="en-US"/>
        </w:rPr>
        <w:t>‑processing, cold‑chain logistics, and green‑technology manufacturing such as renewable equipment, batteries, and hydrogen components. This integration reduces logistics costs, deepens cargo flows, and improves project bankability. Quad governments should therefore make port–industrial corridor integration an explicit eligibility criterion for co-financed projects, with Japanese and Australian agencies contributing industrial planning and zoning experience, and India and the United States leveraging market demand and private investors to populate these clusters.​</w:t>
      </w:r>
    </w:p>
    <w:p w14:paraId="0778FCF5"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Workforce planning is a parallel requirement. Automation and digitalization displace manual cargo-handling roles while creating demand for engineering, digital systems management, IoT and sensor maintenance, and predictive analytics such as Predictive Maintenance (</w:t>
      </w:r>
      <w:proofErr w:type="spellStart"/>
      <w:r>
        <w:rPr>
          <w:rFonts w:ascii="Roboto" w:eastAsia="Roboto" w:hAnsi="Roboto" w:cs="Roboto"/>
          <w:sz w:val="20"/>
          <w:szCs w:val="20"/>
          <w:lang w:val="en-US"/>
        </w:rPr>
        <w:t>PdM</w:t>
      </w:r>
      <w:proofErr w:type="spellEnd"/>
      <w:r>
        <w:rPr>
          <w:rFonts w:ascii="Roboto" w:eastAsia="Roboto" w:hAnsi="Roboto" w:cs="Roboto"/>
          <w:sz w:val="20"/>
          <w:szCs w:val="20"/>
          <w:lang w:val="en-US"/>
        </w:rPr>
        <w:t xml:space="preserve">) for equipment fleets. Quad partners should commit </w:t>
      </w:r>
      <w:proofErr w:type="gramStart"/>
      <w:r>
        <w:rPr>
          <w:rFonts w:ascii="Roboto" w:eastAsia="Roboto" w:hAnsi="Roboto" w:cs="Roboto"/>
          <w:sz w:val="20"/>
          <w:szCs w:val="20"/>
          <w:lang w:val="en-US"/>
        </w:rPr>
        <w:t>to:</w:t>
      </w:r>
      <w:proofErr w:type="gramEnd"/>
      <w:r>
        <w:rPr>
          <w:rFonts w:ascii="Roboto" w:eastAsia="Roboto" w:hAnsi="Roboto" w:cs="Roboto"/>
          <w:sz w:val="20"/>
          <w:szCs w:val="20"/>
          <w:lang w:val="en-US"/>
        </w:rPr>
        <w:t xml:space="preserve"> embedding gender‑inclusive skills development targets in every co-financed port project; funding joint training centers and apprenticeship programs located near major ports; and sharing curricula and standards for technical trades and digital port operations so that workers can move across Quad-linked facilities. This makes labor transition and social inclusion a designed feature of Quad port cooperation, not an afterthought.</w:t>
      </w:r>
    </w:p>
    <w:p w14:paraId="478CF9A0" w14:textId="77777777" w:rsidR="006B14D6" w:rsidRDefault="00000000">
      <w:pPr>
        <w:pStyle w:val="Heading3"/>
        <w:keepNext w:val="0"/>
        <w:keepLines w:val="0"/>
        <w:spacing w:before="280"/>
        <w:rPr>
          <w:rFonts w:ascii="Roboto" w:eastAsia="Roboto" w:hAnsi="Roboto" w:cs="Roboto"/>
          <w:b/>
          <w:bCs/>
          <w:color w:val="000000"/>
          <w:sz w:val="26"/>
          <w:szCs w:val="26"/>
          <w:u w:color="000000"/>
        </w:rPr>
      </w:pPr>
      <w:bookmarkStart w:id="8" w:name="_wzzvf021ng9y"/>
      <w:bookmarkEnd w:id="8"/>
      <w:r>
        <w:rPr>
          <w:rFonts w:ascii="Roboto" w:eastAsia="Roboto" w:hAnsi="Roboto" w:cs="Roboto"/>
          <w:b/>
          <w:bCs/>
          <w:color w:val="000000"/>
          <w:sz w:val="26"/>
          <w:szCs w:val="26"/>
          <w:u w:color="000000"/>
        </w:rPr>
        <w:t>5</w:t>
      </w:r>
      <w:r>
        <w:rPr>
          <w:rFonts w:ascii="Roboto" w:eastAsia="Roboto" w:hAnsi="Roboto" w:cs="Roboto"/>
          <w:b/>
          <w:bCs/>
          <w:color w:val="000000"/>
          <w:sz w:val="26"/>
          <w:szCs w:val="26"/>
          <w:u w:color="000000"/>
          <w:lang w:val="en-US"/>
        </w:rPr>
        <w:t>. Enforcement and Security in Low-Touch Operations</w:t>
      </w:r>
    </w:p>
    <w:p w14:paraId="065158ED"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One of the Mumbai conference's most candid discussions centered on a core tension, maintaining port security and enforcing customs and immigration regulations as human presence deliberately declines. Automation and remote operations centers are integral to future-ready port design, but they create specific vulnerabilities if not coupled with appropriate data architecture and legal frameworks.</w:t>
      </w:r>
      <w:r>
        <w:rPr>
          <w:rFonts w:ascii="Roboto" w:eastAsia="Roboto" w:hAnsi="Roboto" w:cs="Roboto"/>
          <w:sz w:val="20"/>
          <w:szCs w:val="20"/>
          <w:lang w:val="en-US"/>
        </w:rPr>
        <w:br/>
      </w:r>
    </w:p>
    <w:p w14:paraId="2AF6708A" w14:textId="77777777" w:rsidR="00F26852" w:rsidRDefault="00F26852">
      <w:pPr>
        <w:pStyle w:val="Body"/>
        <w:spacing w:before="240" w:after="240"/>
        <w:rPr>
          <w:rFonts w:ascii="Roboto" w:eastAsia="Roboto" w:hAnsi="Roboto" w:cs="Roboto"/>
          <w:sz w:val="20"/>
          <w:szCs w:val="20"/>
          <w:lang w:val="en-US"/>
        </w:rPr>
      </w:pPr>
      <w:r w:rsidRPr="00F26852">
        <w:rPr>
          <w:rFonts w:ascii="Roboto" w:eastAsia="Roboto" w:hAnsi="Roboto" w:cs="Roboto"/>
          <w:sz w:val="20"/>
          <w:szCs w:val="20"/>
          <w:lang w:val="en-US"/>
        </w:rPr>
        <w:t xml:space="preserve">Reduced human contact in high-traffic automated ports can enable contraband smuggling and cargo theft, as criminals exploit container uniformity and reduced manual inspections. Emerging automation heightens concerns over digital vulnerabilities, including poor system integration and cyber risks that complicate anomaly detection without integrated customs databases. However, ports increasingly </w:t>
      </w:r>
      <w:r w:rsidRPr="00F26852">
        <w:rPr>
          <w:rFonts w:ascii="Roboto" w:eastAsia="Roboto" w:hAnsi="Roboto" w:cs="Roboto"/>
          <w:sz w:val="20"/>
          <w:szCs w:val="20"/>
          <w:lang w:val="en-US"/>
        </w:rPr>
        <w:lastRenderedPageBreak/>
        <w:t xml:space="preserve">counter these through AI screening, access controls, and data traceability, though corruption via insiders remains a key enabler for sanctions evasion using shell </w:t>
      </w:r>
      <w:proofErr w:type="spellStart"/>
      <w:r w:rsidRPr="00F26852">
        <w:rPr>
          <w:rFonts w:ascii="Roboto" w:eastAsia="Roboto" w:hAnsi="Roboto" w:cs="Roboto"/>
          <w:sz w:val="20"/>
          <w:szCs w:val="20"/>
          <w:lang w:val="en-US"/>
        </w:rPr>
        <w:t>intermediaries.</w:t>
      </w:r>
    </w:p>
    <w:p w14:paraId="52644C85" w14:textId="6E616F44"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Th</w:t>
      </w:r>
      <w:proofErr w:type="spellEnd"/>
      <w:r>
        <w:rPr>
          <w:rFonts w:ascii="Roboto" w:eastAsia="Roboto" w:hAnsi="Roboto" w:cs="Roboto"/>
          <w:sz w:val="20"/>
          <w:szCs w:val="20"/>
          <w:lang w:val="en-US"/>
        </w:rPr>
        <w:t>e response involves multiple layers. Non-intrusive inspection technology—X-ray and gamma-ray scanning, advanced spectroscopy—can assess cargo contents without opening containers or delaying ships. Data-driven risk profiling, powered by machine learning, can flag anomalous shipping patterns, unusual routing, or suspicious port-to-port sequences warranting deeper investigation. But data-driven profiling only works if underlying data is comprehensive, clean, and shared across agencies.</w:t>
      </w:r>
    </w:p>
    <w:p w14:paraId="6CD85B9C"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This is where the legal and institutional dimension becomes critical. Future-ready ports require integrated platforms linking port authorities, customs agencies, immigration authorities, coast guards, and law-enforcement bodies, with clear protocols for data sharing and escalation. These platforms must be governed by written agreements specifying data retention periods, access controls, and audit trails. They must embody safeguards against misuse or unauthorized access. They can't function if agencies don't trust each other or if data sharing remains siloed.</w:t>
      </w:r>
    </w:p>
    <w:p w14:paraId="433F72F2"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The Quad's maritime security initiatives provide a foundation here. The IPMDA (Indian Ocean Maritime Domain Awareness) project brings together naval and coast guard assets to share real-time tracking data on merchant and fishing vessels. The Quad maritime legal dialogue is developing common approaches to maritime law enforcement and cross-border coordination. The planned Quad-at-Sea ship observer mission will embed observers on commercial vessels to monitor adherence to international maritime standards. These initiatives, if aligned with port-level enforcement frameworks, can create a coherent security layer across the Indo-Pacific maritime domain: standardized approaches to data sharing, compatible technical platforms, and clear legal authorities for enforcement action.</w:t>
      </w:r>
    </w:p>
    <w:p w14:paraId="742990BE"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The unresolved questions are fundamentally political rather than technical. How much data can commercial port operators be required to share with security agencies? For how long? Under what circumstances can that data be accessed? What protections apply when commercial platforms intersect with national security authorities? These questions can't be answered uniformly across the region because they reflect different legal traditions, constitutional frameworks, and threat perceptions. But the Quad can establish minimum standards—perhaps through a Quad Port Security Framework—defining baseline interoperability while allowing national implementation flexibility.</w:t>
      </w:r>
    </w:p>
    <w:p w14:paraId="79A2B943" w14:textId="77777777" w:rsidR="006B14D6" w:rsidRDefault="00000000">
      <w:pPr>
        <w:pStyle w:val="Heading3"/>
        <w:keepNext w:val="0"/>
        <w:keepLines w:val="0"/>
        <w:spacing w:before="280"/>
        <w:rPr>
          <w:rFonts w:ascii="Roboto" w:eastAsia="Roboto" w:hAnsi="Roboto" w:cs="Roboto"/>
          <w:b/>
          <w:bCs/>
          <w:color w:val="000000"/>
          <w:sz w:val="26"/>
          <w:szCs w:val="26"/>
          <w:u w:color="000000"/>
        </w:rPr>
      </w:pPr>
      <w:bookmarkStart w:id="9" w:name="_sew9y9pdd77f"/>
      <w:bookmarkEnd w:id="9"/>
      <w:r>
        <w:rPr>
          <w:rFonts w:ascii="Roboto" w:eastAsia="Roboto" w:hAnsi="Roboto" w:cs="Roboto"/>
          <w:b/>
          <w:bCs/>
          <w:color w:val="000000"/>
          <w:sz w:val="26"/>
          <w:szCs w:val="26"/>
          <w:u w:color="000000"/>
        </w:rPr>
        <w:t>6</w:t>
      </w:r>
      <w:r>
        <w:rPr>
          <w:rFonts w:ascii="Roboto" w:eastAsia="Roboto" w:hAnsi="Roboto" w:cs="Roboto"/>
          <w:b/>
          <w:bCs/>
          <w:color w:val="000000"/>
          <w:sz w:val="26"/>
          <w:szCs w:val="26"/>
          <w:u w:color="000000"/>
          <w:lang w:val="en-US"/>
        </w:rPr>
        <w:t>. Conceptual Positioning: FOIP, Indo-Pacific Visions, and Partnership Principles</w:t>
      </w:r>
    </w:p>
    <w:p w14:paraId="72AA4349"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One purpose of the Mumbai conference was moving beyond aspirational language toward concrete commitments, but it also required clarifying concepts that have become blurred in recent years.</w:t>
      </w:r>
    </w:p>
    <w:p w14:paraId="08E442C8"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 xml:space="preserve">The Free and Open Indo-Pacific (FOIP) articulation originated in Japanese strategic thinking and was consolidated through a series of government policy speeches and documents from 2016 onward, drawing on ideas Abe had begun advancing as early as his 2007 “Confluence of the Two Seas” address to the Indian Parliament. A key moment was Prime Minister Shinzo Abe’s 2016 keynote at Tokyo International Conference on African Development (TICAD) VI in Nairobi, where he first publicly outlined a “Free and Open Indo-Pacific Strategy,” later codified in Ministry of Foreign Affairs briefing papers such as the 2016–2018 FOIP fact sheets and subsequent updates. FOIP provides the Quad with a unifying strategic narrative and frames the region through a particular lens: emphasis on rule of law, respect for sovereignty, opposition to coercion, and support for open maritime commerce. This framing is powerful </w:t>
      </w:r>
      <w:r>
        <w:rPr>
          <w:rFonts w:ascii="Roboto" w:eastAsia="Roboto" w:hAnsi="Roboto" w:cs="Roboto"/>
          <w:sz w:val="20"/>
          <w:szCs w:val="20"/>
          <w:lang w:val="en-US"/>
        </w:rPr>
        <w:lastRenderedPageBreak/>
        <w:t>and has become the default language for the Quad, but it starts from the Pacific theater and radiates westward.</w:t>
      </w:r>
      <w:r>
        <w:rPr>
          <w:rFonts w:ascii="Roboto" w:eastAsia="Roboto" w:hAnsi="Roboto" w:cs="Roboto"/>
          <w:sz w:val="20"/>
          <w:szCs w:val="20"/>
          <w:lang w:val="en-US"/>
        </w:rPr>
        <w:br/>
      </w:r>
    </w:p>
    <w:p w14:paraId="69E7655E" w14:textId="77777777" w:rsidR="002C30E6" w:rsidRDefault="002C30E6">
      <w:pPr>
        <w:pStyle w:val="Body"/>
        <w:spacing w:before="240" w:after="240"/>
        <w:rPr>
          <w:rFonts w:ascii="Roboto" w:eastAsia="Roboto" w:hAnsi="Roboto" w:cs="Roboto"/>
          <w:sz w:val="20"/>
          <w:szCs w:val="20"/>
          <w:lang w:val="en-US"/>
        </w:rPr>
      </w:pPr>
      <w:r w:rsidRPr="002C30E6">
        <w:rPr>
          <w:rFonts w:ascii="Roboto" w:eastAsia="Roboto" w:hAnsi="Roboto" w:cs="Roboto"/>
          <w:sz w:val="20"/>
          <w:szCs w:val="20"/>
          <w:lang w:val="en-US"/>
        </w:rPr>
        <w:t>India's Indo-Pacific vocabulary operates from premises centered on the Indian Ocean Region as the primary theater, with Pacific elements in a complementary role, per Prime Minister Narendra Modi's 2018 Shangri-La Dialogue keynote emphasizing SAGAR ("Security and Growth for All in the Region") rooted in IOR outreach eastward via Act East Policy. Official language favors "maritime cooperation" and "shared prosperity," as in External Affairs Minister S. Jaishankar's 2024 Indian Ocean Conference address promoting the Indo-Pacific Oceans Initiative (IPOI) for inclusive pillars like disaster resilience and blue economy, over U.S.-style "freedom of navigation" or "contested areas." This approach advances regional development and inclusivity with ASEAN centrality, positioning the IOR as a cooperative zone rather than a great power competition arena, consistent with the 2025 MEA report on SAGAR-driven multifaceted engagement.</w:t>
      </w:r>
    </w:p>
    <w:p w14:paraId="0BE70538" w14:textId="16162072"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The US straddles both theaters. It maintains strategic interests in the Pacific (7th Fleet, forward bases, alliance relationships in Japan, South Korea, Philippines) and the Indian Ocean (5th Fleet, Diego Garcia, littoral presence). For the US, FOIP provides a useful framework for integrating both theaters into a single strategic narrative.</w:t>
      </w:r>
    </w:p>
    <w:p w14:paraId="38BFE6B9"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Australia's focus is strongest in the Pacific and the southern Indian Ocean, with emphasis on regional stability, rules adherence, and economic integration.</w:t>
      </w:r>
    </w:p>
    <w:p w14:paraId="35031595"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 xml:space="preserve">For the </w:t>
      </w:r>
      <w:proofErr w:type="gramStart"/>
      <w:r>
        <w:rPr>
          <w:rFonts w:ascii="Roboto" w:eastAsia="Roboto" w:hAnsi="Roboto" w:cs="Roboto"/>
          <w:sz w:val="20"/>
          <w:szCs w:val="20"/>
          <w:lang w:val="en-US"/>
        </w:rPr>
        <w:t>ports</w:t>
      </w:r>
      <w:proofErr w:type="gramEnd"/>
      <w:r>
        <w:rPr>
          <w:rFonts w:ascii="Roboto" w:eastAsia="Roboto" w:hAnsi="Roboto" w:cs="Roboto"/>
          <w:sz w:val="20"/>
          <w:szCs w:val="20"/>
          <w:lang w:val="en-US"/>
        </w:rPr>
        <w:t xml:space="preserve"> agenda, these conceptual differences matter because they affect which areas get prioritized, which partners are engaged, and which outcomes are emphasized. India's emphasis on inclusive development and demand-driven infrastructure is particularly relevant here. It suggests the Quad shouldn't impose a pre-designed template on partners but rather work with countries to identify their actual port development needs and then support those priorities with capital, technology, and expertise.</w:t>
      </w:r>
    </w:p>
    <w:p w14:paraId="525FCED1"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This leads to the second conceptual clarification: the relationship between the Quad and its partner countries. The traditional infrastructure development model has operated through a donor-recipient paradigm. Donor countries provide capital and technology assuming recipients will accept the design, implementation approach, and terms set by the donor. This model has generated both infrastructure and dependency. In many cases, it has also generated political leverage: the creditor nation can influence host-country policy through the threat of withholding capital or imposing tougher terms.</w:t>
      </w:r>
    </w:p>
    <w:p w14:paraId="408E1206"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 xml:space="preserve">The Quad's approach explicitly rejects this model, though the language for articulating the alternative hasn't always been precise. "Non-interference" is the phrase sometimes used, but it's loaded with prior meanings and doesn't capture what the Quad is </w:t>
      </w:r>
      <w:proofErr w:type="gramStart"/>
      <w:r>
        <w:rPr>
          <w:rFonts w:ascii="Roboto" w:eastAsia="Roboto" w:hAnsi="Roboto" w:cs="Roboto"/>
          <w:sz w:val="20"/>
          <w:szCs w:val="20"/>
          <w:lang w:val="en-US"/>
        </w:rPr>
        <w:t>actually proposing</w:t>
      </w:r>
      <w:proofErr w:type="gramEnd"/>
      <w:r>
        <w:rPr>
          <w:rFonts w:ascii="Roboto" w:eastAsia="Roboto" w:hAnsi="Roboto" w:cs="Roboto"/>
          <w:sz w:val="20"/>
          <w:szCs w:val="20"/>
          <w:lang w:val="en-US"/>
        </w:rPr>
        <w:t>. A better frame emphasizes transparent, co-designed partnerships that avoid overt political leverage. This means contracts where terms are clear and comparable to market standards; beneficial-ownership disclosure so it's obvious who controls the infrastructure; financing terms that don't create unsustainable debt burdens; and explicit safeguards preventing unnotified conversion of commercial facilities to military or intelligence purposes.</w:t>
      </w:r>
    </w:p>
    <w:p w14:paraId="255651D0"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 xml:space="preserve">The Quad Transparency Code, mentioned in the recommendations section, is meant to operationalize this principle. By standardizing procurement, requiring open disclosure of ownership structures, and </w:t>
      </w:r>
      <w:r>
        <w:rPr>
          <w:rFonts w:ascii="Roboto" w:eastAsia="Roboto" w:hAnsi="Roboto" w:cs="Roboto"/>
          <w:sz w:val="20"/>
          <w:szCs w:val="20"/>
          <w:lang w:val="en-US"/>
        </w:rPr>
        <w:lastRenderedPageBreak/>
        <w:t>embedding contract clauses that protect host-country sovereignty, the Quad can offer partners genuine infrastructure alternatives grounded in respect for agency rather than conditionality.</w:t>
      </w:r>
    </w:p>
    <w:p w14:paraId="7B8D6609" w14:textId="77777777" w:rsidR="006B14D6" w:rsidRDefault="00000000">
      <w:pPr>
        <w:pStyle w:val="Heading3"/>
        <w:keepNext w:val="0"/>
        <w:keepLines w:val="0"/>
        <w:spacing w:before="280"/>
        <w:rPr>
          <w:rFonts w:ascii="Roboto" w:eastAsia="Roboto" w:hAnsi="Roboto" w:cs="Roboto"/>
          <w:b/>
          <w:bCs/>
          <w:color w:val="000000"/>
          <w:sz w:val="26"/>
          <w:szCs w:val="26"/>
          <w:u w:color="000000"/>
        </w:rPr>
      </w:pPr>
      <w:bookmarkStart w:id="10" w:name="_loe4vcaces3s"/>
      <w:bookmarkEnd w:id="10"/>
      <w:r>
        <w:rPr>
          <w:rFonts w:ascii="Roboto" w:eastAsia="Roboto" w:hAnsi="Roboto" w:cs="Roboto"/>
          <w:b/>
          <w:bCs/>
          <w:color w:val="000000"/>
          <w:sz w:val="26"/>
          <w:szCs w:val="26"/>
          <w:u w:color="000000"/>
        </w:rPr>
        <w:t>7</w:t>
      </w:r>
      <w:r>
        <w:rPr>
          <w:rFonts w:ascii="Roboto" w:eastAsia="Roboto" w:hAnsi="Roboto" w:cs="Roboto"/>
          <w:b/>
          <w:bCs/>
          <w:color w:val="000000"/>
          <w:sz w:val="26"/>
          <w:szCs w:val="26"/>
          <w:u w:color="000000"/>
          <w:lang w:val="en-US"/>
        </w:rPr>
        <w:t>. Operational Evidence of What Works</w:t>
      </w:r>
    </w:p>
    <w:p w14:paraId="7A90606D"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The brief already contains specific examples of port improvements in India; what matters here is framing them as proof of concept for the broader Quad model.</w:t>
      </w:r>
    </w:p>
    <w:p w14:paraId="0FD02ADD"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JNPA's performance improvement is the most striking. JNPA ranked 96th on the Container Port Performance Index in 2023; by 2024, it had risen to 23rd—described by port experts as the steepest single-year improvement ever recorded for a port of JNPA's size. This improvement didn't result from massive capital injection. It resulted from transparent benchmarking, focus on operational metrics, partnership with world-class terminal operators (Maersk and others), and systematic attention to berth utilization, vessel turnaround times, and cargo handling productivity. The lesson for the Quad: performance improvements often don't require complete infrastructure overhaul but rather better management, clear incentives, and access to global best practices.</w:t>
      </w:r>
    </w:p>
    <w:p w14:paraId="40091E1A" w14:textId="77777777" w:rsidR="006B14D6" w:rsidRDefault="00000000">
      <w:pPr>
        <w:pStyle w:val="Body"/>
        <w:spacing w:before="240" w:after="240"/>
        <w:rPr>
          <w:rFonts w:ascii="Roboto" w:eastAsia="Roboto" w:hAnsi="Roboto" w:cs="Roboto"/>
          <w:sz w:val="20"/>
          <w:szCs w:val="20"/>
        </w:rPr>
      </w:pPr>
      <w:proofErr w:type="spellStart"/>
      <w:r>
        <w:rPr>
          <w:rFonts w:ascii="Roboto" w:eastAsia="Roboto" w:hAnsi="Roboto" w:cs="Roboto"/>
          <w:sz w:val="20"/>
          <w:szCs w:val="20"/>
          <w:lang w:val="en-US"/>
        </w:rPr>
        <w:t>Vizhinjam</w:t>
      </w:r>
      <w:proofErr w:type="spellEnd"/>
      <w:r>
        <w:rPr>
          <w:rFonts w:ascii="Roboto" w:eastAsia="Roboto" w:hAnsi="Roboto" w:cs="Roboto"/>
          <w:sz w:val="20"/>
          <w:szCs w:val="20"/>
          <w:lang w:val="en-US"/>
        </w:rPr>
        <w:t xml:space="preserve"> Port's ramp-up demonstrates another principle: transshipment capacity can be built on the Indian coast rather than ceded indefinitely to external hubs. </w:t>
      </w:r>
      <w:proofErr w:type="spellStart"/>
      <w:r>
        <w:rPr>
          <w:rFonts w:ascii="Roboto" w:eastAsia="Roboto" w:hAnsi="Roboto" w:cs="Roboto"/>
          <w:sz w:val="20"/>
          <w:szCs w:val="20"/>
          <w:lang w:val="en-US"/>
        </w:rPr>
        <w:t>Vizhinjam</w:t>
      </w:r>
      <w:proofErr w:type="spellEnd"/>
      <w:r>
        <w:rPr>
          <w:rFonts w:ascii="Roboto" w:eastAsia="Roboto" w:hAnsi="Roboto" w:cs="Roboto"/>
          <w:sz w:val="20"/>
          <w:szCs w:val="20"/>
          <w:lang w:val="en-US"/>
        </w:rPr>
        <w:t xml:space="preserve"> handled 1 million TEU (twenty-foot equivalent units) of container cargo in its first seven months of operation—a trajectory that took Rotterdam seven years to achieve. This capacity provides an alternative to Colombo's saturated terminals (currently handling 8+ million TEU annually), reducing the economic leakage of Indian cargo through foreign ports and capturing value domestically. For the Quad, </w:t>
      </w:r>
      <w:proofErr w:type="spellStart"/>
      <w:r>
        <w:rPr>
          <w:rFonts w:ascii="Roboto" w:eastAsia="Roboto" w:hAnsi="Roboto" w:cs="Roboto"/>
          <w:sz w:val="20"/>
          <w:szCs w:val="20"/>
          <w:lang w:val="en-US"/>
        </w:rPr>
        <w:t>Vizhinjam</w:t>
      </w:r>
      <w:proofErr w:type="spellEnd"/>
      <w:r>
        <w:rPr>
          <w:rFonts w:ascii="Roboto" w:eastAsia="Roboto" w:hAnsi="Roboto" w:cs="Roboto"/>
          <w:sz w:val="20"/>
          <w:szCs w:val="20"/>
          <w:lang w:val="en-US"/>
        </w:rPr>
        <w:t xml:space="preserve"> proves that investment in Indian east coast infrastructure directly strengthens the region's shipping system and reduces vulnerability to single-hub dependencies.</w:t>
      </w:r>
    </w:p>
    <w:p w14:paraId="38D49FAA"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The project unifies customs, port authority, immigration, and financial clearance systems under a single digital framework, targeting 30-50 % reduction in transaction costs and 40-60 % reduction in vessel turnaround times. This isn't a single-country initiative but a bilateral corridor, yet the lessons apply directly to Quad-scale cooperation: interoperability is achievable when there's political will, modular integration approaches work better than comprehensive system replacement, and transaction cost savings are real and quantifiable.</w:t>
      </w:r>
    </w:p>
    <w:p w14:paraId="4FFE1CE4"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These are all India-anchored stories, but the underlying logic, operational focus, digital integration, and transparent partnership translates directly into the Quad's wider portfolio.</w:t>
      </w:r>
    </w:p>
    <w:p w14:paraId="62A73264" w14:textId="77777777" w:rsidR="006B14D6" w:rsidRDefault="00000000">
      <w:pPr>
        <w:pStyle w:val="Heading3"/>
        <w:keepNext w:val="0"/>
        <w:keepLines w:val="0"/>
        <w:spacing w:before="280"/>
        <w:rPr>
          <w:rFonts w:ascii="Roboto" w:eastAsia="Roboto" w:hAnsi="Roboto" w:cs="Roboto"/>
          <w:b/>
          <w:bCs/>
          <w:color w:val="000000"/>
          <w:sz w:val="26"/>
          <w:szCs w:val="26"/>
          <w:u w:color="000000"/>
        </w:rPr>
      </w:pPr>
      <w:bookmarkStart w:id="11" w:name="_bsryns2q9td"/>
      <w:bookmarkEnd w:id="11"/>
      <w:r>
        <w:rPr>
          <w:rFonts w:ascii="Roboto" w:eastAsia="Roboto" w:hAnsi="Roboto" w:cs="Roboto"/>
          <w:b/>
          <w:bCs/>
          <w:color w:val="000000"/>
          <w:sz w:val="26"/>
          <w:szCs w:val="26"/>
          <w:u w:color="000000"/>
        </w:rPr>
        <w:t>8</w:t>
      </w:r>
      <w:r>
        <w:rPr>
          <w:rFonts w:ascii="Roboto" w:eastAsia="Roboto" w:hAnsi="Roboto" w:cs="Roboto"/>
          <w:b/>
          <w:bCs/>
          <w:color w:val="000000"/>
          <w:sz w:val="26"/>
          <w:szCs w:val="26"/>
          <w:u w:color="000000"/>
          <w:lang w:val="en-US"/>
        </w:rPr>
        <w:t>. Gaps and Misperceptions</w:t>
      </w:r>
    </w:p>
    <w:p w14:paraId="4344FED2"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The Mumbai conference also addressed three persistent issues with the Quad ports model, each worth taking seriously even though evidence suggests they're addressable.</w:t>
      </w:r>
    </w:p>
    <w:p w14:paraId="48F0859F"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 xml:space="preserve">The first challenge - coordinating four democracies with different bureaucratic traditions, legal frameworks, and budget cycles will be too slow to compete with faster-moving alternatives. The concern is that by the time Quad processes align on a joint port project, other countries or the private sector will have already leaped ahead. Evidence from the Maitri corridor and JNPA performance improvements suggests coordinated action, when structured clearly, can </w:t>
      </w:r>
      <w:proofErr w:type="gramStart"/>
      <w:r>
        <w:rPr>
          <w:rFonts w:ascii="Roboto" w:eastAsia="Roboto" w:hAnsi="Roboto" w:cs="Roboto"/>
          <w:sz w:val="20"/>
          <w:szCs w:val="20"/>
          <w:lang w:val="en-US"/>
        </w:rPr>
        <w:t>actually deliver</w:t>
      </w:r>
      <w:proofErr w:type="gramEnd"/>
      <w:r>
        <w:rPr>
          <w:rFonts w:ascii="Roboto" w:eastAsia="Roboto" w:hAnsi="Roboto" w:cs="Roboto"/>
          <w:sz w:val="20"/>
          <w:szCs w:val="20"/>
          <w:lang w:val="en-US"/>
        </w:rPr>
        <w:t xml:space="preserve"> faster outcomes than fragmented efforts because it aligns incentives, concentrates capital, and prevents parallel duplicative processes.</w:t>
      </w:r>
    </w:p>
    <w:p w14:paraId="4E42FB9A"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lastRenderedPageBreak/>
        <w:t xml:space="preserve">Coordination works best when structure is explicit rather than aspirational. One workable model is a clear division of </w:t>
      </w:r>
      <w:proofErr w:type="spellStart"/>
      <w:proofErr w:type="gramStart"/>
      <w:r>
        <w:rPr>
          <w:rFonts w:ascii="Roboto" w:eastAsia="Roboto" w:hAnsi="Roboto" w:cs="Roboto"/>
          <w:sz w:val="20"/>
          <w:szCs w:val="20"/>
          <w:lang w:val="en-US"/>
        </w:rPr>
        <w:t>labor:Japan</w:t>
      </w:r>
      <w:proofErr w:type="spellEnd"/>
      <w:proofErr w:type="gramEnd"/>
      <w:r>
        <w:rPr>
          <w:rFonts w:ascii="Roboto" w:eastAsia="Roboto" w:hAnsi="Roboto" w:cs="Roboto"/>
          <w:sz w:val="20"/>
          <w:szCs w:val="20"/>
          <w:lang w:val="en-US"/>
        </w:rPr>
        <w:t xml:space="preserve"> leading on engineering design, India on port operations and local execution, the United States on financing and risk instruments, and Australia on environmental and social safeguards paired with single-country responsibility for overall project leadership to avoid decision paralysis. In practice, that means one Quad member acts as the “lead partner” for a given project, accountable for timelines and problem-solving, while others contribute within their agreed domains rather than co-owning every decision.</w:t>
      </w:r>
    </w:p>
    <w:p w14:paraId="7ABB30C9"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To keep this machinery responsive, development finance institutions (DFIs) such as the U.S. International Development Finance Corporation, Japan International Cooperation Agency, Japan Bank for International Cooperation, Export-Import Bank of India, and Export Finance Australia can hold quarterly coordination reviews, using shared digital dashboards to track milestones, disbursements, and risk flags in real time. “Political sign-off” should default to the governments of the countries materially involved in a specific project, for example, the host country and whichever Quad member is project lead rather than requiring all four to approve every escalation, with a Quad-wide political forum reserved for issues that change the overall framework or create cross-cutting strategic implications.</w:t>
      </w:r>
    </w:p>
    <w:p w14:paraId="7A4B9A28"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The second objection, centers around the fact that developing Indo-Pacific partners lack capacity to absorb and operate advanced digital systems and automated port equipment. This objection underestimates the value of phased, modular approaches. The Maitri corridor overcame substantial system architecture differences between India and the UAE through progressive rollout starting with core entities (ports and customs) and extending gradually to supporting systems. Smaller ports can adopt automation kits and modules aligned with their actual cargo volumes and operational sophistication rather than being pressured into comprehensive system replacement. The critical factor isn't that every partner adopts identical systems but that systems are interoperable and can communicate through agreed standards and APIs.</w:t>
      </w:r>
    </w:p>
    <w:p w14:paraId="4165FC93"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The third objection is scale. The annual infrastructure deficit across the Indo-Pacific is equivalent to hundreds of billions of dollars. How can the Quad possibly address this, given that Quad aggregate GDP is approximately $33 trillion but only a small fraction can be allocated to maritime infrastructure?</w:t>
      </w:r>
    </w:p>
    <w:p w14:paraId="0097599D"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The role of the Quad nations lies in catalyzing broader investment flows and establishing quality standards shaping how other capital gets deployed. Blended finance mechanisms, where concessional public capital combines with private equity and commercial debt can mobilize far larger sums than public budgets alone. Guarantee facilities backed by multilateral institutions can de-risk investment for private investors who would otherwise avoid emerging market port projects. And the Quad can establish transparency and sustainability standards that raise the bar for all port development in the region, regardless of which countries or investors are involved.</w:t>
      </w:r>
    </w:p>
    <w:p w14:paraId="49559714" w14:textId="77777777" w:rsidR="006B14D6" w:rsidRDefault="00000000">
      <w:pPr>
        <w:pStyle w:val="Heading3"/>
        <w:keepNext w:val="0"/>
        <w:keepLines w:val="0"/>
        <w:spacing w:before="280"/>
        <w:rPr>
          <w:rFonts w:ascii="Roboto" w:eastAsia="Roboto" w:hAnsi="Roboto" w:cs="Roboto"/>
          <w:b/>
          <w:bCs/>
          <w:color w:val="000000"/>
          <w:sz w:val="26"/>
          <w:szCs w:val="26"/>
          <w:u w:color="000000"/>
        </w:rPr>
      </w:pPr>
      <w:bookmarkStart w:id="12" w:name="_zabfcdnlxwzd"/>
      <w:bookmarkEnd w:id="12"/>
      <w:r>
        <w:rPr>
          <w:rFonts w:ascii="Roboto" w:eastAsia="Roboto" w:hAnsi="Roboto" w:cs="Roboto"/>
          <w:b/>
          <w:bCs/>
          <w:color w:val="000000"/>
          <w:sz w:val="26"/>
          <w:szCs w:val="26"/>
          <w:u w:color="000000"/>
        </w:rPr>
        <w:t>9</w:t>
      </w:r>
      <w:r>
        <w:rPr>
          <w:rFonts w:ascii="Roboto" w:eastAsia="Roboto" w:hAnsi="Roboto" w:cs="Roboto"/>
          <w:b/>
          <w:bCs/>
          <w:color w:val="000000"/>
          <w:sz w:val="26"/>
          <w:szCs w:val="26"/>
          <w:u w:color="000000"/>
          <w:lang w:val="en-US"/>
        </w:rPr>
        <w:t>. Recommendations</w:t>
      </w:r>
    </w:p>
    <w:p w14:paraId="7391B933"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The following recommendations emerge from the October 2025 conference discussions and balance specificity with flexibility, recognizing that Quad members will need to adapt these proposals to their domestic political and budgetary circumstances.</w:t>
      </w:r>
    </w:p>
    <w:p w14:paraId="387AC427" w14:textId="77777777" w:rsidR="006B14D6" w:rsidRDefault="00000000">
      <w:pPr>
        <w:pStyle w:val="Body"/>
        <w:spacing w:before="240" w:after="240"/>
        <w:rPr>
          <w:rFonts w:ascii="Roboto" w:eastAsia="Roboto" w:hAnsi="Roboto" w:cs="Roboto"/>
          <w:sz w:val="20"/>
          <w:szCs w:val="20"/>
        </w:rPr>
      </w:pPr>
      <w:r>
        <w:rPr>
          <w:rFonts w:ascii="Roboto" w:eastAsia="Roboto" w:hAnsi="Roboto" w:cs="Roboto"/>
          <w:b/>
          <w:bCs/>
          <w:sz w:val="20"/>
          <w:szCs w:val="20"/>
          <w:lang w:val="en-US"/>
        </w:rPr>
        <w:t>First, establish a Quad Port Modernization Window.</w:t>
      </w:r>
      <w:r>
        <w:rPr>
          <w:rFonts w:ascii="Roboto" w:eastAsia="Roboto" w:hAnsi="Roboto" w:cs="Roboto"/>
          <w:sz w:val="20"/>
          <w:szCs w:val="20"/>
          <w:lang w:val="en-US"/>
        </w:rPr>
        <w:t xml:space="preserve"> Rather than creating an entirely new institution, the Quad should establish a dedicated funding window within existing Quad-linked development finance institutions (India Exim Bank, JBIC, Australia's DFC participation, and the US DFC) to co-finance 10-15 </w:t>
      </w:r>
      <w:r>
        <w:rPr>
          <w:rFonts w:ascii="Roboto" w:eastAsia="Roboto" w:hAnsi="Roboto" w:cs="Roboto"/>
          <w:sz w:val="20"/>
          <w:szCs w:val="20"/>
          <w:lang w:val="en-US"/>
        </w:rPr>
        <w:lastRenderedPageBreak/>
        <w:t>flagship port projects over a five-year horizon. The window should have clear selection criteria (strategic location, demonstrated host-country commitment, environmental and social governance standards, digital readiness) and measurable performance targets (berth utilization, vessel turnaround time, emissions intensity, digital integration progress). Initial capitalization should be sufficient to support blended finance transactions in the $500 million to $2 billion range per project.</w:t>
      </w:r>
    </w:p>
    <w:p w14:paraId="58C3D1ED" w14:textId="77777777" w:rsidR="006B14D6" w:rsidRDefault="00000000">
      <w:pPr>
        <w:pStyle w:val="Body"/>
        <w:spacing w:before="240" w:after="240"/>
        <w:rPr>
          <w:rFonts w:ascii="Roboto" w:eastAsia="Roboto" w:hAnsi="Roboto" w:cs="Roboto"/>
          <w:sz w:val="20"/>
          <w:szCs w:val="20"/>
        </w:rPr>
      </w:pPr>
      <w:r>
        <w:rPr>
          <w:rFonts w:ascii="Roboto" w:eastAsia="Roboto" w:hAnsi="Roboto" w:cs="Roboto"/>
          <w:b/>
          <w:bCs/>
          <w:sz w:val="20"/>
          <w:szCs w:val="20"/>
          <w:lang w:val="en-US"/>
        </w:rPr>
        <w:t>Second, adopt a Quad Port Transparency and Dual-Use Code.</w:t>
      </w:r>
      <w:r>
        <w:rPr>
          <w:rFonts w:ascii="Roboto" w:eastAsia="Roboto" w:hAnsi="Roboto" w:cs="Roboto"/>
          <w:sz w:val="20"/>
          <w:szCs w:val="20"/>
          <w:lang w:val="en-US"/>
        </w:rPr>
        <w:t xml:space="preserve"> The code should standardize procurement processes across Quad-supported projects, require public disclosure of beneficial ownership structures and financing arrangements, and embed contractual safeguards preventing unnotified conversion of commercial port facilities to military or intelligence functions without explicit host-government consent. This addresses historical patterns where port projects nominally designated as commercial hubs have been converted to military facilities through slow expansion of government presence, creating political blowback and undermining trust. The code should also establish dispute resolution mechanisms, including independent adjudicatory boards for Public-Private Partnership (PPP) disputes, to ensure legal conflicts don't derail projects or prevent timely resolution.</w:t>
      </w:r>
    </w:p>
    <w:p w14:paraId="6B594F0E" w14:textId="77777777" w:rsidR="006B14D6" w:rsidRDefault="00000000">
      <w:pPr>
        <w:pStyle w:val="Body"/>
        <w:spacing w:before="240" w:after="240"/>
        <w:rPr>
          <w:rFonts w:ascii="Roboto" w:eastAsia="Roboto" w:hAnsi="Roboto" w:cs="Roboto"/>
          <w:sz w:val="20"/>
          <w:szCs w:val="20"/>
        </w:rPr>
      </w:pPr>
      <w:r>
        <w:rPr>
          <w:rFonts w:ascii="Roboto" w:eastAsia="Roboto" w:hAnsi="Roboto" w:cs="Roboto"/>
          <w:b/>
          <w:bCs/>
          <w:sz w:val="20"/>
          <w:szCs w:val="20"/>
          <w:lang w:val="en-US"/>
        </w:rPr>
        <w:t>Third, scale India's digital platforms as regional public infrastructure.</w:t>
      </w:r>
      <w:r>
        <w:rPr>
          <w:rFonts w:ascii="Roboto" w:eastAsia="Roboto" w:hAnsi="Roboto" w:cs="Roboto"/>
          <w:sz w:val="20"/>
          <w:szCs w:val="20"/>
          <w:lang w:val="en-US"/>
        </w:rPr>
        <w:t xml:space="preserve"> The Unified Logistics Interface Platform and NLP Marine should be offered to partner countries on a modular basis, starting with minimal essential data frameworks and expanding incrementally as integration deepens. Rather than imposing a single India-designed system on all partners, the Quad should establish APIs and data standards allowing countries to maintain domestically controlled systems while achieving interoperability. The governance of these standards should be anchored to neutral international bodies, International Maritime </w:t>
      </w:r>
      <w:proofErr w:type="gramStart"/>
      <w:r>
        <w:rPr>
          <w:rFonts w:ascii="Roboto" w:eastAsia="Roboto" w:hAnsi="Roboto" w:cs="Roboto"/>
          <w:sz w:val="20"/>
          <w:szCs w:val="20"/>
          <w:lang w:val="en-US"/>
        </w:rPr>
        <w:t>Organization(</w:t>
      </w:r>
      <w:proofErr w:type="gramEnd"/>
      <w:r>
        <w:rPr>
          <w:rFonts w:ascii="Roboto" w:eastAsia="Roboto" w:hAnsi="Roboto" w:cs="Roboto"/>
          <w:sz w:val="20"/>
          <w:szCs w:val="20"/>
          <w:lang w:val="en-US"/>
        </w:rPr>
        <w:t xml:space="preserve">IMO) for vessel data, World Customs </w:t>
      </w:r>
      <w:proofErr w:type="spellStart"/>
      <w:r>
        <w:rPr>
          <w:rFonts w:ascii="Roboto" w:eastAsia="Roboto" w:hAnsi="Roboto" w:cs="Roboto"/>
          <w:sz w:val="20"/>
          <w:szCs w:val="20"/>
          <w:lang w:val="en-US"/>
        </w:rPr>
        <w:t>Organisation</w:t>
      </w:r>
      <w:proofErr w:type="spellEnd"/>
      <w:r>
        <w:rPr>
          <w:rFonts w:ascii="Roboto" w:eastAsia="Roboto" w:hAnsi="Roboto" w:cs="Roboto"/>
          <w:sz w:val="20"/>
          <w:szCs w:val="20"/>
          <w:lang w:val="en-US"/>
        </w:rPr>
        <w:t xml:space="preserve"> (WCO) for trade documentation, International Chamber of Commerce (ICC) for commercial terms, rather than to any single Quad country, reducing concerns about technology lock-in or data sovereignty.</w:t>
      </w:r>
    </w:p>
    <w:p w14:paraId="5C3AC3BF" w14:textId="77777777" w:rsidR="006B14D6" w:rsidRDefault="00000000">
      <w:pPr>
        <w:pStyle w:val="Body"/>
        <w:spacing w:before="240" w:after="240"/>
        <w:rPr>
          <w:rFonts w:ascii="Roboto" w:eastAsia="Roboto" w:hAnsi="Roboto" w:cs="Roboto"/>
          <w:sz w:val="20"/>
          <w:szCs w:val="20"/>
        </w:rPr>
      </w:pPr>
      <w:r>
        <w:rPr>
          <w:rFonts w:ascii="Roboto" w:eastAsia="Roboto" w:hAnsi="Roboto" w:cs="Roboto"/>
          <w:b/>
          <w:bCs/>
          <w:sz w:val="20"/>
          <w:szCs w:val="20"/>
          <w:lang w:val="en-US"/>
        </w:rPr>
        <w:t>Fourth, deploy sustainability-linked and resilience-linked finance.</w:t>
      </w:r>
      <w:r>
        <w:rPr>
          <w:rFonts w:ascii="Roboto" w:eastAsia="Roboto" w:hAnsi="Roboto" w:cs="Roboto"/>
          <w:sz w:val="20"/>
          <w:szCs w:val="20"/>
          <w:lang w:val="en-US"/>
        </w:rPr>
        <w:t xml:space="preserve"> Interest rate step-downs or grant components should be tied to measurable outcomes on renewable energy usage, emissions reduction, and disaster resilience. An Indo-Pacific Green Port Standard should be developed and operationalized, benchmarking ports on renewable energy as a %age of total power consumption, emissions intensity per container handled, water efficiency, waste management practices, and climate-resilience metrics (elevation, flood protection, redundancy). Progressive targets beginning at 70 % renewable energy and advancing toward full decarbonization provide clear milestones that ports can plan against while allowing regional variation in pace and approach.</w:t>
      </w:r>
    </w:p>
    <w:p w14:paraId="5574535F" w14:textId="77777777" w:rsidR="006B14D6" w:rsidRDefault="00000000">
      <w:pPr>
        <w:pStyle w:val="Body"/>
        <w:spacing w:before="240" w:after="240"/>
        <w:rPr>
          <w:rFonts w:ascii="Roboto" w:eastAsia="Roboto" w:hAnsi="Roboto" w:cs="Roboto"/>
          <w:sz w:val="20"/>
          <w:szCs w:val="20"/>
        </w:rPr>
      </w:pPr>
      <w:r>
        <w:rPr>
          <w:rFonts w:ascii="Roboto" w:eastAsia="Roboto" w:hAnsi="Roboto" w:cs="Roboto"/>
          <w:b/>
          <w:bCs/>
          <w:sz w:val="20"/>
          <w:szCs w:val="20"/>
          <w:lang w:val="en-US"/>
        </w:rPr>
        <w:t>Fifth, institutionalize quarterly coordination mechanisms.</w:t>
      </w:r>
      <w:r>
        <w:rPr>
          <w:rFonts w:ascii="Roboto" w:eastAsia="Roboto" w:hAnsi="Roboto" w:cs="Roboto"/>
          <w:sz w:val="20"/>
          <w:szCs w:val="20"/>
          <w:lang w:val="en-US"/>
        </w:rPr>
        <w:t xml:space="preserve"> Development finance institution alignment reviews should happen regularly, with clear protocols for harmonizing risk frameworks, </w:t>
      </w:r>
      <w:proofErr w:type="gramStart"/>
      <w:r>
        <w:rPr>
          <w:rFonts w:ascii="Roboto" w:eastAsia="Roboto" w:hAnsi="Roboto" w:cs="Roboto"/>
          <w:sz w:val="20"/>
          <w:szCs w:val="20"/>
          <w:lang w:val="en-US"/>
        </w:rPr>
        <w:t>Environmental</w:t>
      </w:r>
      <w:proofErr w:type="gramEnd"/>
      <w:r>
        <w:rPr>
          <w:rFonts w:ascii="Roboto" w:eastAsia="Roboto" w:hAnsi="Roboto" w:cs="Roboto"/>
          <w:sz w:val="20"/>
          <w:szCs w:val="20"/>
          <w:lang w:val="en-US"/>
        </w:rPr>
        <w:t xml:space="preserve"> Sustainable Governance (ESG) standards, and approval timelines. Project leadership should be assigned at the Quad level—with Japan taking the lead on engineering and technical design, India on port operations and hinterland integration, the United States on financing and technology, and Australia on environmental and social safeguards—supported by other Quad members through complementary financing, guarantees, and technical advisory roles. Real-time dashboards tracking project progress, disbursements, and performance metrics should be shared across all four </w:t>
      </w:r>
      <w:proofErr w:type="gramStart"/>
      <w:r>
        <w:rPr>
          <w:rFonts w:ascii="Roboto" w:eastAsia="Roboto" w:hAnsi="Roboto" w:cs="Roboto"/>
          <w:sz w:val="20"/>
          <w:szCs w:val="20"/>
          <w:lang w:val="en-US"/>
        </w:rPr>
        <w:t>countries</w:t>
      </w:r>
      <w:proofErr w:type="gramEnd"/>
      <w:r>
        <w:rPr>
          <w:rFonts w:ascii="Roboto" w:eastAsia="Roboto" w:hAnsi="Roboto" w:cs="Roboto"/>
          <w:sz w:val="20"/>
          <w:szCs w:val="20"/>
          <w:lang w:val="en-US"/>
        </w:rPr>
        <w:t xml:space="preserve"> so coordination becomes routine rather than requiring heroic coordination efforts.</w:t>
      </w:r>
    </w:p>
    <w:p w14:paraId="6AAF4D4F" w14:textId="77777777" w:rsidR="006B14D6" w:rsidRDefault="00000000">
      <w:pPr>
        <w:pStyle w:val="Body"/>
        <w:spacing w:before="240" w:after="240"/>
        <w:rPr>
          <w:rFonts w:ascii="Roboto" w:eastAsia="Roboto" w:hAnsi="Roboto" w:cs="Roboto"/>
          <w:sz w:val="20"/>
          <w:szCs w:val="20"/>
        </w:rPr>
      </w:pPr>
      <w:r>
        <w:rPr>
          <w:rFonts w:ascii="Roboto" w:eastAsia="Roboto" w:hAnsi="Roboto" w:cs="Roboto"/>
          <w:b/>
          <w:bCs/>
          <w:sz w:val="20"/>
          <w:szCs w:val="20"/>
          <w:lang w:val="en-US"/>
        </w:rPr>
        <w:t>Sixth, expand capacity building and knowledge sharing networks.</w:t>
      </w:r>
      <w:r>
        <w:rPr>
          <w:rFonts w:ascii="Roboto" w:eastAsia="Roboto" w:hAnsi="Roboto" w:cs="Roboto"/>
          <w:sz w:val="20"/>
          <w:szCs w:val="20"/>
          <w:lang w:val="en-US"/>
        </w:rPr>
        <w:t xml:space="preserve"> The existing Infrastructure Fellowships program should be scaled with a specific maritime track, bringing port operators, engineering professionals, and digital logistics specialists from partner countries to study at leading Indian, Japanese, </w:t>
      </w:r>
      <w:r>
        <w:rPr>
          <w:rFonts w:ascii="Roboto" w:eastAsia="Roboto" w:hAnsi="Roboto" w:cs="Roboto"/>
          <w:sz w:val="20"/>
          <w:szCs w:val="20"/>
          <w:lang w:val="en-US"/>
        </w:rPr>
        <w:lastRenderedPageBreak/>
        <w:t>Australian, and American port facilities and training institutions. Maritime skill academies should be established at major Indian ports, offering training in digital logistics management, green port operations, IoT and automation systems, and project management. Sister-port arrangements between leading Quad ports and emerging ports in partner countries should be formalized, creating regular knowledge exchange and peer learning. University partnerships in all four Quad countries should be mobilized to ensure the workforce pipeline keeps pace with technological change.</w:t>
      </w:r>
    </w:p>
    <w:p w14:paraId="6235BBD2" w14:textId="77777777" w:rsidR="006B14D6" w:rsidRDefault="00000000">
      <w:pPr>
        <w:pStyle w:val="Body"/>
        <w:spacing w:before="240" w:after="240"/>
        <w:rPr>
          <w:rFonts w:ascii="Roboto" w:eastAsia="Roboto" w:hAnsi="Roboto" w:cs="Roboto"/>
          <w:sz w:val="20"/>
          <w:szCs w:val="20"/>
        </w:rPr>
      </w:pPr>
      <w:r>
        <w:rPr>
          <w:rFonts w:ascii="Roboto" w:eastAsia="Roboto" w:hAnsi="Roboto" w:cs="Roboto"/>
          <w:b/>
          <w:bCs/>
          <w:sz w:val="20"/>
          <w:szCs w:val="20"/>
          <w:lang w:val="en-US"/>
        </w:rPr>
        <w:t>Seventh, prioritize east coast and Bay of Bengal port investments.</w:t>
      </w:r>
      <w:r>
        <w:rPr>
          <w:rFonts w:ascii="Roboto" w:eastAsia="Roboto" w:hAnsi="Roboto" w:cs="Roboto"/>
          <w:sz w:val="20"/>
          <w:szCs w:val="20"/>
          <w:lang w:val="en-US"/>
        </w:rPr>
        <w:t xml:space="preserve"> The strategic vulnerability where 60-70% of Indian east coast cargo transships via Colombo must be addressed through concentrated investment in </w:t>
      </w:r>
      <w:proofErr w:type="spellStart"/>
      <w:r>
        <w:rPr>
          <w:rFonts w:ascii="Roboto" w:eastAsia="Roboto" w:hAnsi="Roboto" w:cs="Roboto"/>
          <w:sz w:val="20"/>
          <w:szCs w:val="20"/>
          <w:lang w:val="en-US"/>
        </w:rPr>
        <w:t>Vizhinjam</w:t>
      </w:r>
      <w:proofErr w:type="spellEnd"/>
      <w:r>
        <w:rPr>
          <w:rFonts w:ascii="Roboto" w:eastAsia="Roboto" w:hAnsi="Roboto" w:cs="Roboto"/>
          <w:sz w:val="20"/>
          <w:szCs w:val="20"/>
          <w:lang w:val="en-US"/>
        </w:rPr>
        <w:t>, Ennore, and Paradip development, coupled with corresponding investments in hinterland connectivity. JNPA's expanded hinterland reach—now spanning 1,400 kilometers, triple traditional ranges—should be replicated on the east coast to enable direct containerization of Indian cargo and reduce leakage. This is simultaneously a development priority (capturing value domestically, improving India's export competitiveness) and a regional stability priority (reducing dependence on single foreign hubs and building redundancy into shipping networks).</w:t>
      </w:r>
    </w:p>
    <w:p w14:paraId="42734540" w14:textId="77777777" w:rsidR="006B14D6" w:rsidRDefault="00000000">
      <w:pPr>
        <w:pStyle w:val="Body"/>
        <w:spacing w:before="240" w:after="240"/>
        <w:rPr>
          <w:rFonts w:ascii="Roboto" w:eastAsia="Roboto" w:hAnsi="Roboto" w:cs="Roboto"/>
          <w:sz w:val="20"/>
          <w:szCs w:val="20"/>
        </w:rPr>
      </w:pPr>
      <w:r>
        <w:rPr>
          <w:rFonts w:ascii="Roboto" w:eastAsia="Roboto" w:hAnsi="Roboto" w:cs="Roboto"/>
          <w:b/>
          <w:bCs/>
          <w:sz w:val="20"/>
          <w:szCs w:val="20"/>
          <w:lang w:val="en-US"/>
        </w:rPr>
        <w:t>Eighth, leverage shipbuilding complementarities.</w:t>
      </w:r>
      <w:r>
        <w:rPr>
          <w:rFonts w:ascii="Roboto" w:eastAsia="Roboto" w:hAnsi="Roboto" w:cs="Roboto"/>
          <w:sz w:val="20"/>
          <w:szCs w:val="20"/>
          <w:lang w:val="en-US"/>
        </w:rPr>
        <w:t xml:space="preserve"> India's four-pillar shipbuilding strategy: financial assistance through the Shipbuilding Financial Assistance Scheme (SBFAS/SBFAP 2.0) (15-25% support for vessels, enhanced for green ships), maritime development fund offering long‑tenor, concessional loans for shipbuilding and maritime projects (soft loans for working capital), Shipbuilding Development Scheme (</w:t>
      </w:r>
      <w:proofErr w:type="spellStart"/>
      <w:r>
        <w:rPr>
          <w:rFonts w:ascii="Roboto" w:eastAsia="Roboto" w:hAnsi="Roboto" w:cs="Roboto"/>
          <w:sz w:val="20"/>
          <w:szCs w:val="20"/>
          <w:lang w:val="en-US"/>
        </w:rPr>
        <w:t>SbDS</w:t>
      </w:r>
      <w:proofErr w:type="spellEnd"/>
      <w:r>
        <w:rPr>
          <w:rFonts w:ascii="Roboto" w:eastAsia="Roboto" w:hAnsi="Roboto" w:cs="Roboto"/>
          <w:sz w:val="20"/>
          <w:szCs w:val="20"/>
          <w:lang w:val="en-US"/>
        </w:rPr>
        <w:t>) to co‑finance yard expansion, clusters, and R&amp;D with the goal of reaching about 4.5 million gross tonnage of annual capacity, and policy reforms (fast-track customs clearance, tax rationalization): provides a test model that can be operationalized with Quad backing and support. Australia's role as a raw materials supplier, India's manufacturing capacity and labor base, Japan's technology and quality standards, and the US's financing capacity and innovation should be coordinated into an integrated network rather than four separate national industries. Domestic cargo reservation requirements mandating that 20-30% of national cargo move on domestic-flagged vessels establish predictable demand that underwrites investment in regional shipbuilding capacity. The Quad should coordinate these policies to ensure incentives align and that green-ship orders can be distributed across the network.</w:t>
      </w:r>
    </w:p>
    <w:p w14:paraId="5B34798C" w14:textId="77777777" w:rsidR="006B14D6" w:rsidRDefault="00000000">
      <w:pPr>
        <w:pStyle w:val="Heading3"/>
        <w:keepNext w:val="0"/>
        <w:keepLines w:val="0"/>
        <w:spacing w:before="280"/>
        <w:rPr>
          <w:rFonts w:ascii="Roboto" w:eastAsia="Roboto" w:hAnsi="Roboto" w:cs="Roboto"/>
          <w:b/>
          <w:bCs/>
          <w:color w:val="000000"/>
          <w:sz w:val="26"/>
          <w:szCs w:val="26"/>
          <w:u w:color="000000"/>
        </w:rPr>
      </w:pPr>
      <w:bookmarkStart w:id="13" w:name="_h1v140nyfea"/>
      <w:bookmarkEnd w:id="13"/>
      <w:r>
        <w:rPr>
          <w:rFonts w:ascii="Roboto" w:eastAsia="Roboto" w:hAnsi="Roboto" w:cs="Roboto"/>
          <w:b/>
          <w:bCs/>
          <w:color w:val="000000"/>
          <w:sz w:val="26"/>
          <w:szCs w:val="26"/>
          <w:u w:color="000000"/>
        </w:rPr>
        <w:t>1</w:t>
      </w:r>
      <w:r>
        <w:rPr>
          <w:rFonts w:ascii="Roboto" w:eastAsia="Roboto" w:hAnsi="Roboto" w:cs="Roboto"/>
          <w:b/>
          <w:bCs/>
          <w:color w:val="000000"/>
          <w:sz w:val="26"/>
          <w:szCs w:val="26"/>
          <w:u w:color="000000"/>
          <w:lang w:val="it-IT"/>
        </w:rPr>
        <w:t xml:space="preserve">0. </w:t>
      </w:r>
      <w:proofErr w:type="spellStart"/>
      <w:r>
        <w:rPr>
          <w:rFonts w:ascii="Roboto" w:eastAsia="Roboto" w:hAnsi="Roboto" w:cs="Roboto"/>
          <w:b/>
          <w:bCs/>
          <w:color w:val="000000"/>
          <w:sz w:val="26"/>
          <w:szCs w:val="26"/>
          <w:u w:color="000000"/>
          <w:lang w:val="it-IT"/>
        </w:rPr>
        <w:t>Conclusion</w:t>
      </w:r>
      <w:proofErr w:type="spellEnd"/>
    </w:p>
    <w:p w14:paraId="0727CCC6"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 xml:space="preserve">The Quad Ports of the Future Partnership could translate strategic principles about the Free and Open Indo-Pacific into concrete, coordinated action on one of the region's most critical infrastructure systems. </w:t>
      </w:r>
    </w:p>
    <w:p w14:paraId="1CE78466"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 xml:space="preserve">India's recent operational improvements at JNPA and </w:t>
      </w:r>
      <w:proofErr w:type="spellStart"/>
      <w:r>
        <w:rPr>
          <w:rFonts w:ascii="Roboto" w:eastAsia="Roboto" w:hAnsi="Roboto" w:cs="Roboto"/>
          <w:sz w:val="20"/>
          <w:szCs w:val="20"/>
          <w:lang w:val="en-US"/>
        </w:rPr>
        <w:t>Vizhinjam</w:t>
      </w:r>
      <w:proofErr w:type="spellEnd"/>
      <w:r>
        <w:rPr>
          <w:rFonts w:ascii="Roboto" w:eastAsia="Roboto" w:hAnsi="Roboto" w:cs="Roboto"/>
          <w:sz w:val="20"/>
          <w:szCs w:val="20"/>
          <w:lang w:val="en-US"/>
        </w:rPr>
        <w:t xml:space="preserve"> demonstrate what happens when design, digital integration, and serious operational focus combine. The Maitri corridor shows that digital interoperability is achievable when there's political will and clear technical direction. Furthermore, India's concessional credit portfolio demonstrates that demand-driven development finance can be deployed at scale without generating unsustainable dependencies.</w:t>
      </w:r>
    </w:p>
    <w:p w14:paraId="78CF06EE"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 xml:space="preserve">The next two to three years matter because they are when currently announced Quad frameworks, financing tools, and Indian port projects either move into construction and contracting or risk stalling in </w:t>
      </w:r>
      <w:proofErr w:type="spellStart"/>
      <w:r>
        <w:rPr>
          <w:rFonts w:ascii="Roboto" w:eastAsia="Roboto" w:hAnsi="Roboto" w:cs="Roboto"/>
          <w:sz w:val="20"/>
          <w:szCs w:val="20"/>
          <w:lang w:val="en-US"/>
        </w:rPr>
        <w:t>MoUs</w:t>
      </w:r>
      <w:proofErr w:type="spellEnd"/>
      <w:r>
        <w:rPr>
          <w:rFonts w:ascii="Roboto" w:eastAsia="Roboto" w:hAnsi="Roboto" w:cs="Roboto"/>
          <w:sz w:val="20"/>
          <w:szCs w:val="20"/>
          <w:lang w:val="en-US"/>
        </w:rPr>
        <w:t xml:space="preserve"> and communiqués. This is the period in which </w:t>
      </w:r>
      <w:proofErr w:type="spellStart"/>
      <w:r>
        <w:rPr>
          <w:rFonts w:ascii="Roboto" w:eastAsia="Roboto" w:hAnsi="Roboto" w:cs="Roboto"/>
          <w:sz w:val="20"/>
          <w:szCs w:val="20"/>
          <w:lang w:val="en-US"/>
        </w:rPr>
        <w:t>Vadhavan</w:t>
      </w:r>
      <w:proofErr w:type="spellEnd"/>
      <w:r>
        <w:rPr>
          <w:rFonts w:ascii="Roboto" w:eastAsia="Roboto" w:hAnsi="Roboto" w:cs="Roboto"/>
          <w:sz w:val="20"/>
          <w:szCs w:val="20"/>
          <w:lang w:val="en-US"/>
        </w:rPr>
        <w:t xml:space="preserve">, </w:t>
      </w:r>
      <w:proofErr w:type="spellStart"/>
      <w:r>
        <w:rPr>
          <w:rFonts w:ascii="Roboto" w:eastAsia="Roboto" w:hAnsi="Roboto" w:cs="Roboto"/>
          <w:sz w:val="20"/>
          <w:szCs w:val="20"/>
          <w:lang w:val="en-US"/>
        </w:rPr>
        <w:t>Vizhinjam’s</w:t>
      </w:r>
      <w:proofErr w:type="spellEnd"/>
      <w:r>
        <w:rPr>
          <w:rFonts w:ascii="Roboto" w:eastAsia="Roboto" w:hAnsi="Roboto" w:cs="Roboto"/>
          <w:sz w:val="20"/>
          <w:szCs w:val="20"/>
          <w:lang w:val="en-US"/>
        </w:rPr>
        <w:t xml:space="preserve"> scaling, and east coast upgrades intersect with new Japanese, Australian, and US financing windows and shipbuilding schemes; if alignment does not happen at this stage, the opportunity cost is a full investment cycle, not a single conference. The test will be whether these frameworks translate into a visible portfolio of high-quality </w:t>
      </w:r>
      <w:r>
        <w:rPr>
          <w:rFonts w:ascii="Roboto" w:eastAsia="Roboto" w:hAnsi="Roboto" w:cs="Roboto"/>
          <w:sz w:val="20"/>
          <w:szCs w:val="20"/>
          <w:lang w:val="en-US"/>
        </w:rPr>
        <w:lastRenderedPageBreak/>
        <w:t>projects: deep-draft container and energy terminals, digitally enabled logistics corridors, and shipbuilding orders that demonstrably lift capacity and standards, rather than remaining largely conceptual. “Early wins” in this context are not measured in weeks, but in the first 12–24 months: for example, a small set of concrete milestones such as financial close, ground-breaking, or delivery of initial capacity, and at least one significant green-ship or auxiliary vessel order placed into a Quad-linked yard through a Quad-linked program. Sustained political attention from Quad capitals and disciplined coordination mechanisms will be essential. Port infrastructure shapes not only the economics of regional trade but also the geopolitical character of the Indo-Pacific itself; the Quad’s success in operationalizing this agenda will offer one of the clearest tests of whether democratic partners can coordinate complex, long-horizon infrastructure without sliding into duplication of efforts or lowest-common-denominator outcomes.</w:t>
      </w:r>
    </w:p>
    <w:p w14:paraId="3949DC69" w14:textId="77777777" w:rsidR="006B14D6" w:rsidRDefault="00000000">
      <w:pPr>
        <w:pStyle w:val="Body"/>
        <w:spacing w:before="240" w:after="120"/>
        <w:rPr>
          <w:rFonts w:ascii="Roboto" w:eastAsia="Roboto" w:hAnsi="Roboto" w:cs="Roboto"/>
          <w:sz w:val="20"/>
          <w:szCs w:val="20"/>
        </w:rPr>
      </w:pPr>
      <w:r>
        <w:rPr>
          <w:noProof/>
        </w:rPr>
        <mc:AlternateContent>
          <mc:Choice Requires="wps">
            <w:drawing>
              <wp:inline distT="0" distB="0" distL="0" distR="0" wp14:anchorId="488308A5" wp14:editId="65EF7C14">
                <wp:extent cx="5943600" cy="19050"/>
                <wp:effectExtent l="0" t="0" r="0" b="0"/>
                <wp:docPr id="1073741825" name="officeArt object" descr="Rectangle"/>
                <wp:cNvGraphicFramePr/>
                <a:graphic xmlns:a="http://schemas.openxmlformats.org/drawingml/2006/main">
                  <a:graphicData uri="http://schemas.microsoft.com/office/word/2010/wordprocessingShape">
                    <wps:wsp>
                      <wps:cNvSpPr/>
                      <wps:spPr>
                        <a:xfrm>
                          <a:off x="0" y="0"/>
                          <a:ext cx="5943600" cy="19050"/>
                        </a:xfrm>
                        <a:prstGeom prst="rect">
                          <a:avLst/>
                        </a:prstGeom>
                        <a:solidFill>
                          <a:srgbClr val="A0A0A0"/>
                        </a:solidFill>
                        <a:ln w="12700" cap="flat">
                          <a:noFill/>
                          <a:miter lim="400000"/>
                        </a:ln>
                        <a:effectLst/>
                      </wps:spPr>
                      <wps:bodyPr/>
                    </wps:wsp>
                  </a:graphicData>
                </a:graphic>
              </wp:inline>
            </w:drawing>
          </mc:Choice>
          <mc:Fallback>
            <w:pict>
              <v:rect id="_x0000_s1026" style="visibility:visible;width:468.0pt;height:1.5pt;">
                <v:fill color="#A0A0A0" opacity="100.0%" type="solid"/>
                <v:stroke on="f" weight="1.0pt" dashstyle="solid" endcap="flat" miterlimit="400.0%" joinstyle="miter" linestyle="single" startarrow="none" startarrowwidth="medium" startarrowlength="medium" endarrow="none" endarrowwidth="medium" endarrowlength="medium"/>
              </v:rect>
            </w:pict>
          </mc:Fallback>
        </mc:AlternateContent>
      </w:r>
    </w:p>
    <w:p w14:paraId="61997D09" w14:textId="77777777" w:rsidR="006B14D6" w:rsidRDefault="00000000">
      <w:pPr>
        <w:pStyle w:val="Heading2"/>
        <w:keepNext w:val="0"/>
        <w:keepLines w:val="0"/>
        <w:spacing w:after="80"/>
        <w:rPr>
          <w:rFonts w:ascii="Roboto" w:eastAsia="Roboto" w:hAnsi="Roboto" w:cs="Roboto"/>
          <w:b/>
          <w:bCs/>
          <w:sz w:val="34"/>
          <w:szCs w:val="34"/>
        </w:rPr>
      </w:pPr>
      <w:bookmarkStart w:id="14" w:name="_h7ux58lgkuvc"/>
      <w:bookmarkEnd w:id="14"/>
      <w:r>
        <w:rPr>
          <w:rFonts w:ascii="Roboto" w:eastAsia="Roboto" w:hAnsi="Roboto" w:cs="Roboto"/>
          <w:b/>
          <w:bCs/>
          <w:sz w:val="34"/>
          <w:szCs w:val="34"/>
        </w:rPr>
        <w:t>A</w:t>
      </w:r>
      <w:proofErr w:type="spellStart"/>
      <w:r>
        <w:rPr>
          <w:rFonts w:ascii="Roboto" w:eastAsia="Roboto" w:hAnsi="Roboto" w:cs="Roboto"/>
          <w:b/>
          <w:bCs/>
          <w:sz w:val="34"/>
          <w:szCs w:val="34"/>
          <w:lang w:val="da-DK"/>
        </w:rPr>
        <w:t>ppendix</w:t>
      </w:r>
      <w:proofErr w:type="spellEnd"/>
      <w:r>
        <w:rPr>
          <w:rFonts w:ascii="Roboto" w:eastAsia="Roboto" w:hAnsi="Roboto" w:cs="Roboto"/>
          <w:b/>
          <w:bCs/>
          <w:sz w:val="34"/>
          <w:szCs w:val="34"/>
          <w:lang w:val="da-DK"/>
        </w:rPr>
        <w:t xml:space="preserve"> I: Conference </w:t>
      </w:r>
      <w:proofErr w:type="spellStart"/>
      <w:r>
        <w:rPr>
          <w:rFonts w:ascii="Roboto" w:eastAsia="Roboto" w:hAnsi="Roboto" w:cs="Roboto"/>
          <w:b/>
          <w:bCs/>
          <w:sz w:val="34"/>
          <w:szCs w:val="34"/>
          <w:lang w:val="da-DK"/>
        </w:rPr>
        <w:t>Details</w:t>
      </w:r>
      <w:proofErr w:type="spellEnd"/>
    </w:p>
    <w:p w14:paraId="585EBAC1" w14:textId="77777777" w:rsidR="006B14D6" w:rsidRDefault="00000000">
      <w:pPr>
        <w:pStyle w:val="Body"/>
        <w:spacing w:before="240" w:after="240"/>
        <w:rPr>
          <w:rFonts w:ascii="Roboto" w:eastAsia="Roboto" w:hAnsi="Roboto" w:cs="Roboto"/>
          <w:sz w:val="20"/>
          <w:szCs w:val="20"/>
        </w:rPr>
      </w:pPr>
      <w:r>
        <w:rPr>
          <w:rFonts w:ascii="Roboto" w:eastAsia="Roboto" w:hAnsi="Roboto" w:cs="Roboto"/>
          <w:sz w:val="20"/>
          <w:szCs w:val="20"/>
          <w:lang w:val="en-US"/>
        </w:rPr>
        <w:t>The QUAD Ports of the Future Partnership Conference, part of India Maritime Week 2025</w:t>
      </w:r>
    </w:p>
    <w:p w14:paraId="452F5AF3" w14:textId="77777777" w:rsidR="006B14D6" w:rsidRDefault="00000000">
      <w:pPr>
        <w:pStyle w:val="Body"/>
        <w:spacing w:before="240" w:after="240"/>
        <w:rPr>
          <w:rFonts w:ascii="Roboto" w:eastAsia="Roboto" w:hAnsi="Roboto" w:cs="Roboto"/>
          <w:sz w:val="20"/>
          <w:szCs w:val="20"/>
        </w:rPr>
      </w:pPr>
      <w:r>
        <w:rPr>
          <w:rFonts w:ascii="Roboto" w:eastAsia="Roboto" w:hAnsi="Roboto" w:cs="Roboto"/>
          <w:b/>
          <w:bCs/>
          <w:sz w:val="20"/>
          <w:szCs w:val="20"/>
        </w:rPr>
        <w:t>Organizers:</w:t>
      </w:r>
      <w:r>
        <w:rPr>
          <w:rFonts w:ascii="Roboto" w:eastAsia="Roboto" w:hAnsi="Roboto" w:cs="Roboto"/>
          <w:sz w:val="20"/>
          <w:szCs w:val="20"/>
          <w:lang w:val="en-US"/>
        </w:rPr>
        <w:t xml:space="preserve"> Ministry of External Affairs and the Ministry of Ports, Shipping and Waterways in collaboration with Ananta Centre</w:t>
      </w:r>
    </w:p>
    <w:p w14:paraId="44C0F824" w14:textId="77777777" w:rsidR="006B14D6" w:rsidRDefault="00000000">
      <w:pPr>
        <w:pStyle w:val="Body"/>
        <w:spacing w:before="240" w:after="240"/>
        <w:rPr>
          <w:rFonts w:ascii="Roboto" w:eastAsia="Roboto" w:hAnsi="Roboto" w:cs="Roboto"/>
          <w:sz w:val="20"/>
          <w:szCs w:val="20"/>
        </w:rPr>
      </w:pPr>
      <w:proofErr w:type="gramStart"/>
      <w:r>
        <w:rPr>
          <w:rFonts w:ascii="Roboto" w:eastAsia="Roboto" w:hAnsi="Roboto" w:cs="Roboto"/>
          <w:b/>
          <w:bCs/>
          <w:sz w:val="20"/>
          <w:szCs w:val="20"/>
          <w:lang w:val="fr-FR"/>
        </w:rPr>
        <w:t>Participants:</w:t>
      </w:r>
      <w:proofErr w:type="gramEnd"/>
      <w:r>
        <w:rPr>
          <w:rFonts w:ascii="Roboto" w:eastAsia="Roboto" w:hAnsi="Roboto" w:cs="Roboto"/>
          <w:sz w:val="20"/>
          <w:szCs w:val="20"/>
          <w:lang w:val="en-US"/>
        </w:rPr>
        <w:t xml:space="preserve"> 100+ delegates from India, Australia, Japan, the United States, and partner countries including Kiribati, Tuvalu, Vietnam, Tanzania, Sri Lanka, Palau, and Fiji</w:t>
      </w:r>
    </w:p>
    <w:p w14:paraId="39FC4B14" w14:textId="77777777" w:rsidR="006B14D6" w:rsidRDefault="00000000">
      <w:pPr>
        <w:pStyle w:val="Body"/>
        <w:spacing w:before="240" w:after="240"/>
        <w:rPr>
          <w:rFonts w:ascii="Roboto" w:eastAsia="Roboto" w:hAnsi="Roboto" w:cs="Roboto"/>
          <w:sz w:val="20"/>
          <w:szCs w:val="20"/>
        </w:rPr>
      </w:pPr>
      <w:r>
        <w:rPr>
          <w:rFonts w:ascii="Roboto" w:eastAsia="Roboto" w:hAnsi="Roboto" w:cs="Roboto"/>
          <w:b/>
          <w:bCs/>
          <w:sz w:val="20"/>
          <w:szCs w:val="20"/>
          <w:lang w:val="en-US"/>
        </w:rPr>
        <w:t>Date and venue:</w:t>
      </w:r>
      <w:r>
        <w:rPr>
          <w:rFonts w:ascii="Roboto" w:eastAsia="Roboto" w:hAnsi="Roboto" w:cs="Roboto"/>
          <w:sz w:val="20"/>
          <w:szCs w:val="20"/>
          <w:lang w:val="en-US"/>
        </w:rPr>
        <w:t xml:space="preserve"> 29-30 October 2025, Mumbai, India</w:t>
      </w:r>
    </w:p>
    <w:p w14:paraId="1ED91B7B" w14:textId="77777777" w:rsidR="006B14D6" w:rsidRDefault="006B14D6">
      <w:pPr>
        <w:pStyle w:val="Body"/>
        <w:spacing w:before="240" w:after="240"/>
        <w:rPr>
          <w:rFonts w:ascii="Roboto" w:eastAsia="Roboto" w:hAnsi="Roboto" w:cs="Roboto"/>
          <w:sz w:val="20"/>
          <w:szCs w:val="20"/>
        </w:rPr>
      </w:pPr>
    </w:p>
    <w:p w14:paraId="09FFEFAA" w14:textId="77777777" w:rsidR="006B14D6" w:rsidRDefault="006B14D6">
      <w:pPr>
        <w:pStyle w:val="Body"/>
        <w:spacing w:before="240" w:after="240"/>
        <w:rPr>
          <w:rFonts w:ascii="Roboto" w:eastAsia="Roboto" w:hAnsi="Roboto" w:cs="Roboto"/>
          <w:sz w:val="20"/>
          <w:szCs w:val="20"/>
        </w:rPr>
      </w:pPr>
    </w:p>
    <w:p w14:paraId="3A9A0627" w14:textId="77777777" w:rsidR="006B14D6" w:rsidRDefault="006B14D6">
      <w:pPr>
        <w:pStyle w:val="Body"/>
        <w:spacing w:before="240" w:after="240"/>
        <w:rPr>
          <w:rFonts w:ascii="Roboto" w:eastAsia="Roboto" w:hAnsi="Roboto" w:cs="Roboto"/>
          <w:sz w:val="20"/>
          <w:szCs w:val="20"/>
        </w:rPr>
      </w:pPr>
    </w:p>
    <w:p w14:paraId="41EAE541" w14:textId="77777777" w:rsidR="006B14D6" w:rsidRDefault="006B14D6">
      <w:pPr>
        <w:pStyle w:val="Body"/>
        <w:spacing w:before="240" w:after="240"/>
        <w:rPr>
          <w:rFonts w:ascii="Roboto" w:eastAsia="Roboto" w:hAnsi="Roboto" w:cs="Roboto"/>
          <w:sz w:val="20"/>
          <w:szCs w:val="20"/>
        </w:rPr>
      </w:pPr>
    </w:p>
    <w:p w14:paraId="6B69B558" w14:textId="77777777" w:rsidR="006B14D6" w:rsidRDefault="00000000">
      <w:pPr>
        <w:pStyle w:val="Heading2"/>
        <w:keepNext w:val="0"/>
        <w:keepLines w:val="0"/>
        <w:spacing w:after="80"/>
        <w:rPr>
          <w:rFonts w:ascii="Roboto" w:eastAsia="Roboto" w:hAnsi="Roboto" w:cs="Roboto"/>
          <w:color w:val="1155CC"/>
          <w:sz w:val="24"/>
          <w:szCs w:val="24"/>
          <w:u w:val="single" w:color="1155CC"/>
        </w:rPr>
      </w:pPr>
      <w:bookmarkStart w:id="15" w:name="_q70p277lfonf"/>
      <w:bookmarkEnd w:id="15"/>
      <w:r>
        <w:rPr>
          <w:rFonts w:ascii="Roboto" w:eastAsia="Roboto" w:hAnsi="Roboto" w:cs="Roboto"/>
          <w:b/>
          <w:bCs/>
          <w:sz w:val="34"/>
          <w:szCs w:val="34"/>
        </w:rPr>
        <w:t>R</w:t>
      </w:r>
      <w:proofErr w:type="spellStart"/>
      <w:r>
        <w:rPr>
          <w:rFonts w:ascii="Roboto" w:eastAsia="Roboto" w:hAnsi="Roboto" w:cs="Roboto"/>
          <w:b/>
          <w:bCs/>
          <w:sz w:val="34"/>
          <w:szCs w:val="34"/>
          <w:lang w:val="fr-FR"/>
        </w:rPr>
        <w:t>eferences</w:t>
      </w:r>
      <w:proofErr w:type="spellEnd"/>
    </w:p>
    <w:p w14:paraId="515EDCCA" w14:textId="77777777" w:rsidR="006B14D6" w:rsidRDefault="00000000">
      <w:pPr>
        <w:pStyle w:val="Body"/>
        <w:spacing w:before="240" w:after="120"/>
        <w:rPr>
          <w:rFonts w:ascii="Roboto" w:eastAsia="Roboto" w:hAnsi="Roboto" w:cs="Roboto"/>
          <w:sz w:val="24"/>
          <w:szCs w:val="24"/>
        </w:rPr>
      </w:pPr>
      <w:r>
        <w:rPr>
          <w:rFonts w:ascii="Roboto" w:eastAsia="Roboto" w:hAnsi="Roboto" w:cs="Roboto"/>
          <w:sz w:val="24"/>
          <w:szCs w:val="24"/>
          <w:lang w:val="en-US"/>
        </w:rPr>
        <w:t xml:space="preserve">Centre for Social and Economic Progress. (2025). </w:t>
      </w:r>
      <w:r>
        <w:rPr>
          <w:rFonts w:ascii="Roboto" w:eastAsia="Roboto" w:hAnsi="Roboto" w:cs="Roboto"/>
          <w:i/>
          <w:iCs/>
          <w:sz w:val="24"/>
          <w:szCs w:val="24"/>
          <w:lang w:val="en-US"/>
        </w:rPr>
        <w:t>India and the Quad in port development in the Bay of Bengal region</w:t>
      </w:r>
      <w:r>
        <w:rPr>
          <w:rFonts w:ascii="Roboto" w:eastAsia="Roboto" w:hAnsi="Roboto" w:cs="Roboto"/>
          <w:sz w:val="24"/>
          <w:szCs w:val="24"/>
          <w:lang w:val="pt-PT"/>
        </w:rPr>
        <w:t xml:space="preserve"> [PDF]. </w:t>
      </w:r>
    </w:p>
    <w:p w14:paraId="3F4919E8" w14:textId="77777777" w:rsidR="006B14D6" w:rsidRDefault="006B14D6">
      <w:pPr>
        <w:pStyle w:val="Body"/>
        <w:spacing w:before="240" w:after="120"/>
        <w:rPr>
          <w:rStyle w:val="Hyperlink0"/>
        </w:rPr>
      </w:pPr>
      <w:hyperlink r:id="rId6" w:history="1">
        <w:r>
          <w:rPr>
            <w:rStyle w:val="Hyperlink0"/>
            <w:lang w:val="en-US"/>
          </w:rPr>
          <w:t>https://csep.org/wp-content/uploads/2025/10/India-and-the-Quad-in-Port-Development-in-the-Bay-of-Bengal-Region.pdf</w:t>
        </w:r>
      </w:hyperlink>
    </w:p>
    <w:p w14:paraId="7273C207" w14:textId="77777777" w:rsidR="006B14D6" w:rsidRDefault="00000000">
      <w:pPr>
        <w:pStyle w:val="Body"/>
        <w:spacing w:before="240" w:after="120"/>
        <w:rPr>
          <w:rStyle w:val="None"/>
          <w:rFonts w:ascii="Roboto" w:eastAsia="Roboto" w:hAnsi="Roboto" w:cs="Roboto"/>
          <w:sz w:val="24"/>
          <w:szCs w:val="24"/>
        </w:rPr>
      </w:pPr>
      <w:r>
        <w:rPr>
          <w:rStyle w:val="None"/>
          <w:rFonts w:ascii="Roboto" w:eastAsia="Roboto" w:hAnsi="Roboto" w:cs="Roboto"/>
          <w:sz w:val="24"/>
          <w:szCs w:val="24"/>
          <w:lang w:val="en-US"/>
        </w:rPr>
        <w:t xml:space="preserve">Congressional Research Service. (2025, March 30). </w:t>
      </w:r>
      <w:r>
        <w:rPr>
          <w:rStyle w:val="None"/>
          <w:rFonts w:ascii="Roboto" w:eastAsia="Roboto" w:hAnsi="Roboto" w:cs="Roboto"/>
          <w:i/>
          <w:iCs/>
          <w:sz w:val="24"/>
          <w:szCs w:val="24"/>
          <w:lang w:val="en-US"/>
        </w:rPr>
        <w:t>Navy force structure and shipbuilding plans</w:t>
      </w:r>
      <w:r>
        <w:rPr>
          <w:rStyle w:val="None"/>
          <w:rFonts w:ascii="Roboto" w:eastAsia="Roboto" w:hAnsi="Roboto" w:cs="Roboto"/>
          <w:sz w:val="24"/>
          <w:szCs w:val="24"/>
        </w:rPr>
        <w:t xml:space="preserve"> (CRS Report No. RL32665). Congress.gov. </w:t>
      </w:r>
    </w:p>
    <w:p w14:paraId="5DE78432" w14:textId="77777777" w:rsidR="006B14D6" w:rsidRDefault="006B14D6">
      <w:pPr>
        <w:pStyle w:val="Body"/>
        <w:spacing w:before="240" w:after="120"/>
        <w:rPr>
          <w:rStyle w:val="Hyperlink0"/>
        </w:rPr>
      </w:pPr>
      <w:hyperlink r:id="rId7" w:history="1">
        <w:r>
          <w:rPr>
            <w:rStyle w:val="Hyperlink0"/>
            <w:lang w:val="en-US"/>
          </w:rPr>
          <w:t>https://www.congress.gov/crs-product/RL32665</w:t>
        </w:r>
      </w:hyperlink>
    </w:p>
    <w:p w14:paraId="15C76389" w14:textId="77777777" w:rsidR="006B14D6" w:rsidRDefault="00000000">
      <w:pPr>
        <w:pStyle w:val="Body"/>
        <w:spacing w:before="240" w:after="120"/>
        <w:rPr>
          <w:rStyle w:val="None"/>
          <w:rFonts w:ascii="Roboto" w:eastAsia="Roboto" w:hAnsi="Roboto" w:cs="Roboto"/>
          <w:sz w:val="24"/>
          <w:szCs w:val="24"/>
        </w:rPr>
      </w:pPr>
      <w:r>
        <w:rPr>
          <w:rStyle w:val="None"/>
          <w:rFonts w:ascii="Roboto" w:eastAsia="Roboto" w:hAnsi="Roboto" w:cs="Roboto"/>
          <w:sz w:val="24"/>
          <w:szCs w:val="24"/>
          <w:lang w:val="en-US"/>
        </w:rPr>
        <w:lastRenderedPageBreak/>
        <w:t xml:space="preserve">Economic Times. (2025, October 8). Quad's future port program eyes Bay of Bengal. </w:t>
      </w:r>
    </w:p>
    <w:p w14:paraId="1D422B6E" w14:textId="77777777" w:rsidR="006B14D6" w:rsidRDefault="006B14D6">
      <w:pPr>
        <w:pStyle w:val="Body"/>
        <w:spacing w:before="240" w:after="120"/>
        <w:rPr>
          <w:rStyle w:val="Hyperlink0"/>
        </w:rPr>
      </w:pPr>
      <w:hyperlink r:id="rId8" w:history="1">
        <w:r>
          <w:rPr>
            <w:rStyle w:val="Hyperlink0"/>
            <w:lang w:val="en-US"/>
          </w:rPr>
          <w:t>https://economictimes.com/news/india/quads-future-port-program-eyes-bay-of-bengal/articleshow/124406012.cms</w:t>
        </w:r>
      </w:hyperlink>
    </w:p>
    <w:p w14:paraId="0E88D855" w14:textId="77777777" w:rsidR="006B14D6" w:rsidRDefault="00000000">
      <w:pPr>
        <w:pStyle w:val="Body"/>
        <w:spacing w:before="240" w:after="120"/>
        <w:rPr>
          <w:rStyle w:val="None"/>
          <w:rFonts w:ascii="Roboto" w:eastAsia="Roboto" w:hAnsi="Roboto" w:cs="Roboto"/>
          <w:sz w:val="24"/>
          <w:szCs w:val="24"/>
        </w:rPr>
      </w:pPr>
      <w:r>
        <w:rPr>
          <w:rStyle w:val="None"/>
          <w:rFonts w:ascii="Roboto" w:eastAsia="Roboto" w:hAnsi="Roboto" w:cs="Roboto"/>
          <w:sz w:val="24"/>
          <w:szCs w:val="24"/>
          <w:lang w:val="en-US"/>
        </w:rPr>
        <w:t xml:space="preserve">India Maritime Week. (2025, September 30). </w:t>
      </w:r>
      <w:r>
        <w:rPr>
          <w:rStyle w:val="None"/>
          <w:rFonts w:ascii="Roboto" w:eastAsia="Roboto" w:hAnsi="Roboto" w:cs="Roboto"/>
          <w:i/>
          <w:iCs/>
          <w:sz w:val="24"/>
          <w:szCs w:val="24"/>
          <w:lang w:val="en-US"/>
        </w:rPr>
        <w:t>Ports of the Future Partnership: A Quad Initiative</w:t>
      </w:r>
      <w:r>
        <w:rPr>
          <w:rStyle w:val="None"/>
          <w:rFonts w:ascii="Roboto" w:eastAsia="Roboto" w:hAnsi="Roboto" w:cs="Roboto"/>
          <w:sz w:val="24"/>
          <w:szCs w:val="24"/>
        </w:rPr>
        <w:t xml:space="preserve">. </w:t>
      </w:r>
    </w:p>
    <w:p w14:paraId="32DFDF4A" w14:textId="77777777" w:rsidR="006B14D6" w:rsidRDefault="006B14D6">
      <w:pPr>
        <w:pStyle w:val="Body"/>
        <w:spacing w:before="240" w:after="120"/>
        <w:rPr>
          <w:rStyle w:val="Hyperlink0"/>
        </w:rPr>
      </w:pPr>
      <w:hyperlink r:id="rId9" w:history="1">
        <w:r>
          <w:rPr>
            <w:rStyle w:val="Hyperlink0"/>
            <w:lang w:val="en-US"/>
          </w:rPr>
          <w:t>https://imw.org.in/imw/programmes/ports-of-the-future-partnership-a-quad-initiative/</w:t>
        </w:r>
      </w:hyperlink>
    </w:p>
    <w:p w14:paraId="5185EC61" w14:textId="77777777" w:rsidR="006B14D6" w:rsidRDefault="00000000">
      <w:pPr>
        <w:pStyle w:val="Body"/>
        <w:spacing w:before="240" w:after="120"/>
        <w:rPr>
          <w:rStyle w:val="None"/>
          <w:rFonts w:ascii="Roboto" w:eastAsia="Roboto" w:hAnsi="Roboto" w:cs="Roboto"/>
          <w:sz w:val="24"/>
          <w:szCs w:val="24"/>
        </w:rPr>
      </w:pPr>
      <w:r>
        <w:rPr>
          <w:rStyle w:val="None"/>
          <w:rFonts w:ascii="Roboto" w:eastAsia="Roboto" w:hAnsi="Roboto" w:cs="Roboto"/>
          <w:sz w:val="24"/>
          <w:szCs w:val="24"/>
          <w:lang w:val="en-US"/>
        </w:rPr>
        <w:t xml:space="preserve">Ministry of External Affairs, Government of India. (2024, September 20). </w:t>
      </w:r>
      <w:r>
        <w:rPr>
          <w:rStyle w:val="None"/>
          <w:rFonts w:ascii="Roboto" w:eastAsia="Roboto" w:hAnsi="Roboto" w:cs="Roboto"/>
          <w:i/>
          <w:iCs/>
          <w:sz w:val="24"/>
          <w:szCs w:val="24"/>
          <w:lang w:val="en-US"/>
        </w:rPr>
        <w:t>The Wilmington Declaration: Joint statement from the leaders of Australia, India, Japan, and the United States</w:t>
      </w:r>
      <w:r>
        <w:rPr>
          <w:rStyle w:val="None"/>
          <w:rFonts w:ascii="Roboto" w:eastAsia="Roboto" w:hAnsi="Roboto" w:cs="Roboto"/>
          <w:sz w:val="24"/>
          <w:szCs w:val="24"/>
        </w:rPr>
        <w:t xml:space="preserve">. </w:t>
      </w:r>
    </w:p>
    <w:p w14:paraId="19CA1E8E" w14:textId="77777777" w:rsidR="006B14D6" w:rsidRDefault="006B14D6">
      <w:pPr>
        <w:pStyle w:val="Body"/>
        <w:spacing w:before="240" w:after="120"/>
        <w:rPr>
          <w:rStyle w:val="Hyperlink0"/>
        </w:rPr>
      </w:pPr>
      <w:hyperlink r:id="rId10" w:history="1">
        <w:r>
          <w:rPr>
            <w:rStyle w:val="Hyperlink0"/>
          </w:rPr>
          <w:t>https://www.mea.gov.in/bilateral-documents.htm?dtl%2F38320%2F</w:t>
        </w:r>
      </w:hyperlink>
    </w:p>
    <w:p w14:paraId="7A02F4D7" w14:textId="77777777" w:rsidR="006B14D6" w:rsidRDefault="00000000">
      <w:pPr>
        <w:pStyle w:val="Body"/>
        <w:spacing w:before="240" w:after="120"/>
        <w:rPr>
          <w:rStyle w:val="None"/>
          <w:rFonts w:ascii="Roboto" w:eastAsia="Roboto" w:hAnsi="Roboto" w:cs="Roboto"/>
          <w:sz w:val="24"/>
          <w:szCs w:val="24"/>
        </w:rPr>
      </w:pPr>
      <w:r>
        <w:rPr>
          <w:rStyle w:val="None"/>
          <w:rFonts w:ascii="Roboto" w:eastAsia="Roboto" w:hAnsi="Roboto" w:cs="Roboto"/>
          <w:sz w:val="24"/>
          <w:szCs w:val="24"/>
          <w:lang w:val="en-US"/>
        </w:rPr>
        <w:t xml:space="preserve">Ministry of External Affairs, Government of India. (2025, July 1). </w:t>
      </w:r>
      <w:r>
        <w:rPr>
          <w:rStyle w:val="None"/>
          <w:rFonts w:ascii="Roboto" w:eastAsia="Roboto" w:hAnsi="Roboto" w:cs="Roboto"/>
          <w:i/>
          <w:iCs/>
          <w:sz w:val="24"/>
          <w:szCs w:val="24"/>
          <w:lang w:val="en-US"/>
        </w:rPr>
        <w:t>Factsheet: 2025 Quad Foreign Ministers' Meeting in Washington D.C.</w:t>
      </w:r>
      <w:r>
        <w:rPr>
          <w:rStyle w:val="None"/>
          <w:rFonts w:ascii="Roboto" w:eastAsia="Roboto" w:hAnsi="Roboto" w:cs="Roboto"/>
          <w:sz w:val="24"/>
          <w:szCs w:val="24"/>
        </w:rPr>
        <w:t xml:space="preserve"> </w:t>
      </w:r>
    </w:p>
    <w:p w14:paraId="5E77D257" w14:textId="77777777" w:rsidR="006B14D6" w:rsidRDefault="006B14D6">
      <w:pPr>
        <w:pStyle w:val="Body"/>
        <w:spacing w:before="240" w:after="120"/>
        <w:rPr>
          <w:rStyle w:val="Hyperlink0"/>
        </w:rPr>
      </w:pPr>
      <w:hyperlink r:id="rId11" w:history="1">
        <w:r>
          <w:rPr>
            <w:rStyle w:val="Hyperlink0"/>
            <w:lang w:val="en-US"/>
          </w:rPr>
          <w:t>https://www.mea.gov.in/bilateral-documents.htm?dtl%2F39734%2FFactsheet__2025_Quad_Foreign_Ministers_Meeting_in_Washington_DC_July_01_2025</w:t>
        </w:r>
      </w:hyperlink>
    </w:p>
    <w:p w14:paraId="35CD4593" w14:textId="77777777" w:rsidR="006B14D6" w:rsidRDefault="00000000">
      <w:pPr>
        <w:pStyle w:val="Body"/>
        <w:spacing w:before="240" w:after="120"/>
        <w:rPr>
          <w:rStyle w:val="None"/>
          <w:rFonts w:ascii="Roboto" w:eastAsia="Roboto" w:hAnsi="Roboto" w:cs="Roboto"/>
          <w:sz w:val="24"/>
          <w:szCs w:val="24"/>
        </w:rPr>
      </w:pPr>
      <w:r>
        <w:rPr>
          <w:rStyle w:val="None"/>
          <w:rFonts w:ascii="Roboto" w:eastAsia="Roboto" w:hAnsi="Roboto" w:cs="Roboto"/>
          <w:sz w:val="24"/>
          <w:szCs w:val="24"/>
          <w:lang w:val="en-US"/>
        </w:rPr>
        <w:t xml:space="preserve">Ministry of Ports, Shipping and Waterways, Government of India. (2025). </w:t>
      </w:r>
      <w:r>
        <w:rPr>
          <w:rStyle w:val="None"/>
          <w:rFonts w:ascii="Roboto" w:eastAsia="Roboto" w:hAnsi="Roboto" w:cs="Roboto"/>
          <w:i/>
          <w:iCs/>
          <w:sz w:val="24"/>
          <w:szCs w:val="24"/>
          <w:lang w:val="en-US"/>
        </w:rPr>
        <w:t>Annual report 2024–</w:t>
      </w:r>
      <w:r>
        <w:rPr>
          <w:rStyle w:val="None"/>
          <w:rFonts w:ascii="Roboto" w:eastAsia="Roboto" w:hAnsi="Roboto" w:cs="Roboto"/>
          <w:i/>
          <w:iCs/>
          <w:sz w:val="24"/>
          <w:szCs w:val="24"/>
        </w:rPr>
        <w:t>25</w:t>
      </w:r>
      <w:r>
        <w:rPr>
          <w:rStyle w:val="None"/>
          <w:rFonts w:ascii="Roboto" w:eastAsia="Roboto" w:hAnsi="Roboto" w:cs="Roboto"/>
          <w:sz w:val="24"/>
          <w:szCs w:val="24"/>
          <w:lang w:val="pt-PT"/>
        </w:rPr>
        <w:t xml:space="preserve"> [PDF]. </w:t>
      </w:r>
    </w:p>
    <w:p w14:paraId="1EF2D672" w14:textId="77777777" w:rsidR="006B14D6" w:rsidRDefault="006B14D6">
      <w:pPr>
        <w:pStyle w:val="Body"/>
        <w:spacing w:before="240" w:after="120"/>
        <w:rPr>
          <w:rStyle w:val="Hyperlink0"/>
        </w:rPr>
      </w:pPr>
      <w:hyperlink r:id="rId12" w:history="1">
        <w:r>
          <w:rPr>
            <w:rStyle w:val="Hyperlink0"/>
            <w:lang w:val="en-US"/>
          </w:rPr>
          <w:t>https://shipmin.gov.in/sites/default/files/Annual%20Report%202024-25%20-%20English.pdf</w:t>
        </w:r>
      </w:hyperlink>
    </w:p>
    <w:p w14:paraId="6519962C" w14:textId="77777777" w:rsidR="006B14D6" w:rsidRDefault="00000000">
      <w:pPr>
        <w:pStyle w:val="Body"/>
        <w:spacing w:before="240" w:after="120"/>
        <w:rPr>
          <w:rStyle w:val="None"/>
          <w:rFonts w:ascii="Roboto" w:eastAsia="Roboto" w:hAnsi="Roboto" w:cs="Roboto"/>
          <w:sz w:val="24"/>
          <w:szCs w:val="24"/>
        </w:rPr>
      </w:pPr>
      <w:r>
        <w:rPr>
          <w:rStyle w:val="None"/>
          <w:rFonts w:ascii="Roboto" w:eastAsia="Roboto" w:hAnsi="Roboto" w:cs="Roboto"/>
          <w:sz w:val="24"/>
          <w:szCs w:val="24"/>
          <w:lang w:val="en-US"/>
        </w:rPr>
        <w:t xml:space="preserve">National Maritime Foundation. (2024). The Wilmington Declaration: Charting India's role in a resilient and cooperative Indo-Pacific. </w:t>
      </w:r>
      <w:r>
        <w:rPr>
          <w:rStyle w:val="None"/>
          <w:rFonts w:ascii="Roboto" w:eastAsia="Roboto" w:hAnsi="Roboto" w:cs="Roboto"/>
          <w:i/>
          <w:iCs/>
          <w:sz w:val="24"/>
          <w:szCs w:val="24"/>
          <w:lang w:val="en-US"/>
        </w:rPr>
        <w:t>Maritime India</w:t>
      </w:r>
      <w:r>
        <w:rPr>
          <w:rStyle w:val="None"/>
          <w:rFonts w:ascii="Roboto" w:eastAsia="Roboto" w:hAnsi="Roboto" w:cs="Roboto"/>
          <w:sz w:val="24"/>
          <w:szCs w:val="24"/>
        </w:rPr>
        <w:t xml:space="preserve">. </w:t>
      </w:r>
    </w:p>
    <w:p w14:paraId="21A3101F" w14:textId="77777777" w:rsidR="006B14D6" w:rsidRDefault="006B14D6">
      <w:pPr>
        <w:pStyle w:val="Body"/>
        <w:spacing w:before="240" w:after="120"/>
        <w:rPr>
          <w:rStyle w:val="Hyperlink0"/>
        </w:rPr>
      </w:pPr>
      <w:hyperlink r:id="rId13" w:history="1">
        <w:r>
          <w:rPr>
            <w:rStyle w:val="Hyperlink0"/>
            <w:lang w:val="en-US"/>
          </w:rPr>
          <w:t>https://maritimeindia.org/the-wilmington-declaration-charting-indias-role-in-a-resilient-and-cooperative-indo-pacific/</w:t>
        </w:r>
      </w:hyperlink>
    </w:p>
    <w:p w14:paraId="07AE2B97" w14:textId="77777777" w:rsidR="006B14D6" w:rsidRDefault="00000000">
      <w:pPr>
        <w:pStyle w:val="Body"/>
        <w:spacing w:before="240" w:after="120"/>
        <w:rPr>
          <w:rStyle w:val="None"/>
          <w:rFonts w:ascii="Roboto" w:eastAsia="Roboto" w:hAnsi="Roboto" w:cs="Roboto"/>
          <w:sz w:val="24"/>
          <w:szCs w:val="24"/>
        </w:rPr>
      </w:pPr>
      <w:r>
        <w:rPr>
          <w:rStyle w:val="None"/>
          <w:rFonts w:ascii="Roboto" w:eastAsia="Roboto" w:hAnsi="Roboto" w:cs="Roboto"/>
          <w:sz w:val="24"/>
          <w:szCs w:val="24"/>
          <w:lang w:val="en-US"/>
        </w:rPr>
        <w:t xml:space="preserve">Pacific Forum. (2025, July 24). The Quad's steady resolve: A blueprint for Indo-Pacific stability. </w:t>
      </w:r>
      <w:proofErr w:type="spellStart"/>
      <w:r>
        <w:rPr>
          <w:rStyle w:val="None"/>
          <w:rFonts w:ascii="Roboto" w:eastAsia="Roboto" w:hAnsi="Roboto" w:cs="Roboto"/>
          <w:i/>
          <w:iCs/>
          <w:sz w:val="24"/>
          <w:szCs w:val="24"/>
        </w:rPr>
        <w:t>PacNet</w:t>
      </w:r>
      <w:proofErr w:type="spellEnd"/>
      <w:r>
        <w:rPr>
          <w:rStyle w:val="None"/>
          <w:rFonts w:ascii="Roboto" w:eastAsia="Roboto" w:hAnsi="Roboto" w:cs="Roboto"/>
          <w:sz w:val="24"/>
          <w:szCs w:val="24"/>
        </w:rPr>
        <w:t xml:space="preserve">, No. 57. </w:t>
      </w:r>
    </w:p>
    <w:p w14:paraId="3FCAE76B" w14:textId="77777777" w:rsidR="006B14D6" w:rsidRDefault="006B14D6">
      <w:pPr>
        <w:pStyle w:val="Body"/>
        <w:spacing w:before="240" w:after="120"/>
        <w:rPr>
          <w:rStyle w:val="Hyperlink0"/>
        </w:rPr>
      </w:pPr>
      <w:hyperlink r:id="rId14" w:history="1">
        <w:r>
          <w:rPr>
            <w:rStyle w:val="Hyperlink0"/>
            <w:lang w:val="en-US"/>
          </w:rPr>
          <w:t>https://pacforum.org/publications/pacnet-57-the-quads-steady-resolve-a-blueprint-for-indo-pacific-stability/</w:t>
        </w:r>
      </w:hyperlink>
    </w:p>
    <w:p w14:paraId="661CCA1D" w14:textId="77777777" w:rsidR="006B14D6" w:rsidRDefault="00000000">
      <w:pPr>
        <w:pStyle w:val="Body"/>
        <w:spacing w:before="240" w:after="120"/>
        <w:rPr>
          <w:rStyle w:val="None"/>
          <w:rFonts w:ascii="Roboto" w:eastAsia="Roboto" w:hAnsi="Roboto" w:cs="Roboto"/>
          <w:sz w:val="24"/>
          <w:szCs w:val="24"/>
        </w:rPr>
      </w:pPr>
      <w:r>
        <w:rPr>
          <w:rStyle w:val="None"/>
          <w:rFonts w:ascii="Roboto" w:eastAsia="Roboto" w:hAnsi="Roboto" w:cs="Roboto"/>
          <w:sz w:val="24"/>
          <w:szCs w:val="24"/>
          <w:lang w:val="en-US"/>
        </w:rPr>
        <w:lastRenderedPageBreak/>
        <w:t xml:space="preserve">Press Information Bureau, Government of India. (2024, September 21). </w:t>
      </w:r>
      <w:r>
        <w:rPr>
          <w:rStyle w:val="None"/>
          <w:rFonts w:ascii="Roboto" w:eastAsia="Roboto" w:hAnsi="Roboto" w:cs="Roboto"/>
          <w:i/>
          <w:iCs/>
          <w:sz w:val="24"/>
          <w:szCs w:val="24"/>
          <w:lang w:val="en-US"/>
        </w:rPr>
        <w:t>The Wilmington Declaration: Joint statement from the leaders of Australia, India, Japan, and the United States</w:t>
      </w:r>
      <w:r>
        <w:rPr>
          <w:rStyle w:val="None"/>
          <w:rFonts w:ascii="Roboto" w:eastAsia="Roboto" w:hAnsi="Roboto" w:cs="Roboto"/>
          <w:sz w:val="24"/>
          <w:szCs w:val="24"/>
        </w:rPr>
        <w:t xml:space="preserve">. </w:t>
      </w:r>
    </w:p>
    <w:p w14:paraId="798296FE" w14:textId="77777777" w:rsidR="006B14D6" w:rsidRDefault="006B14D6">
      <w:pPr>
        <w:pStyle w:val="Body"/>
        <w:spacing w:before="240" w:after="120"/>
        <w:rPr>
          <w:rStyle w:val="Hyperlink0"/>
        </w:rPr>
      </w:pPr>
      <w:hyperlink r:id="rId15" w:history="1">
        <w:r>
          <w:rPr>
            <w:rStyle w:val="Hyperlink0"/>
            <w:lang w:val="en-US"/>
          </w:rPr>
          <w:t>https://www.pib.gov.in/pressreleasepage.aspx?PRID=2057454</w:t>
        </w:r>
      </w:hyperlink>
    </w:p>
    <w:p w14:paraId="21E79406" w14:textId="77777777" w:rsidR="006B14D6" w:rsidRDefault="00000000">
      <w:pPr>
        <w:pStyle w:val="Body"/>
        <w:spacing w:before="240" w:after="120"/>
        <w:rPr>
          <w:rStyle w:val="None"/>
          <w:rFonts w:ascii="Roboto" w:eastAsia="Roboto" w:hAnsi="Roboto" w:cs="Roboto"/>
          <w:sz w:val="24"/>
          <w:szCs w:val="24"/>
        </w:rPr>
      </w:pPr>
      <w:proofErr w:type="spellStart"/>
      <w:r>
        <w:rPr>
          <w:rStyle w:val="None"/>
          <w:rFonts w:ascii="Roboto" w:eastAsia="Roboto" w:hAnsi="Roboto" w:cs="Roboto"/>
          <w:sz w:val="24"/>
          <w:szCs w:val="24"/>
          <w:lang w:val="en-US"/>
        </w:rPr>
        <w:t>Sagarmala</w:t>
      </w:r>
      <w:proofErr w:type="spellEnd"/>
      <w:r>
        <w:rPr>
          <w:rStyle w:val="None"/>
          <w:rFonts w:ascii="Roboto" w:eastAsia="Roboto" w:hAnsi="Roboto" w:cs="Roboto"/>
          <w:sz w:val="24"/>
          <w:szCs w:val="24"/>
          <w:lang w:val="en-US"/>
        </w:rPr>
        <w:t xml:space="preserve">, Ministry of Ports, Shipping and Waterways. (2020). </w:t>
      </w:r>
      <w:r>
        <w:rPr>
          <w:rStyle w:val="None"/>
          <w:rFonts w:ascii="Roboto" w:eastAsia="Roboto" w:hAnsi="Roboto" w:cs="Roboto"/>
          <w:i/>
          <w:iCs/>
          <w:sz w:val="24"/>
          <w:szCs w:val="24"/>
          <w:lang w:val="en-US"/>
        </w:rPr>
        <w:t>Maritime India Vision 2030 report</w:t>
      </w:r>
      <w:r>
        <w:rPr>
          <w:rStyle w:val="None"/>
          <w:rFonts w:ascii="Roboto" w:eastAsia="Roboto" w:hAnsi="Roboto" w:cs="Roboto"/>
          <w:sz w:val="24"/>
          <w:szCs w:val="24"/>
          <w:lang w:val="pt-PT"/>
        </w:rPr>
        <w:t xml:space="preserve"> [PDF]. </w:t>
      </w:r>
    </w:p>
    <w:p w14:paraId="4C26667F" w14:textId="77777777" w:rsidR="006B14D6" w:rsidRDefault="006B14D6">
      <w:pPr>
        <w:pStyle w:val="Body"/>
        <w:spacing w:before="240" w:after="120"/>
        <w:rPr>
          <w:rStyle w:val="Hyperlink0"/>
        </w:rPr>
      </w:pPr>
      <w:hyperlink r:id="rId16" w:history="1">
        <w:r>
          <w:rPr>
            <w:rStyle w:val="Hyperlink0"/>
          </w:rPr>
          <w:t>https://sagarmala.gov.in/sites/default/files/MIV%202030%20Report.pdf</w:t>
        </w:r>
      </w:hyperlink>
    </w:p>
    <w:p w14:paraId="7836F871" w14:textId="77777777" w:rsidR="006B14D6" w:rsidRDefault="00000000">
      <w:pPr>
        <w:pStyle w:val="Body"/>
        <w:spacing w:before="240" w:after="120"/>
        <w:rPr>
          <w:rStyle w:val="None"/>
          <w:rFonts w:ascii="Roboto" w:eastAsia="Roboto" w:hAnsi="Roboto" w:cs="Roboto"/>
          <w:sz w:val="24"/>
          <w:szCs w:val="24"/>
        </w:rPr>
      </w:pPr>
      <w:r>
        <w:rPr>
          <w:rStyle w:val="None"/>
          <w:rFonts w:ascii="Roboto" w:eastAsia="Roboto" w:hAnsi="Roboto" w:cs="Roboto"/>
          <w:sz w:val="24"/>
          <w:szCs w:val="24"/>
          <w:lang w:val="en-US"/>
        </w:rPr>
        <w:t xml:space="preserve">Times of India. (2024, September 24). Four dimensions of the Wilmington Declaration: Quad's emergence as a confident coalition. </w:t>
      </w:r>
    </w:p>
    <w:p w14:paraId="6FE5ECE0" w14:textId="77777777" w:rsidR="006B14D6" w:rsidRDefault="006B14D6">
      <w:pPr>
        <w:pStyle w:val="Body"/>
        <w:spacing w:before="240" w:after="120"/>
        <w:rPr>
          <w:rStyle w:val="Hyperlink0"/>
        </w:rPr>
      </w:pPr>
      <w:hyperlink r:id="rId17" w:history="1">
        <w:r>
          <w:rPr>
            <w:rStyle w:val="Hyperlink0"/>
            <w:lang w:val="en-US"/>
          </w:rPr>
          <w:t>https://timesofindia.indiatimes.com/blogs/ChanakyaCode/four-dimensions-of-the-wilmington-declaration-quads-emergence-as-a-confident-coalition/</w:t>
        </w:r>
      </w:hyperlink>
    </w:p>
    <w:p w14:paraId="62BD47E2" w14:textId="77777777" w:rsidR="006B14D6" w:rsidRDefault="00000000">
      <w:pPr>
        <w:pStyle w:val="Body"/>
        <w:spacing w:before="240" w:after="120"/>
        <w:rPr>
          <w:rStyle w:val="None"/>
          <w:rFonts w:ascii="Roboto" w:eastAsia="Roboto" w:hAnsi="Roboto" w:cs="Roboto"/>
          <w:sz w:val="24"/>
          <w:szCs w:val="24"/>
        </w:rPr>
      </w:pPr>
      <w:r>
        <w:rPr>
          <w:rStyle w:val="None"/>
          <w:rFonts w:ascii="Roboto" w:eastAsia="Roboto" w:hAnsi="Roboto" w:cs="Roboto"/>
          <w:sz w:val="24"/>
          <w:szCs w:val="24"/>
          <w:lang w:val="en-US"/>
        </w:rPr>
        <w:t xml:space="preserve">U.S. Department of State. (2025, July). </w:t>
      </w:r>
      <w:r>
        <w:rPr>
          <w:rStyle w:val="None"/>
          <w:rFonts w:ascii="Roboto" w:eastAsia="Roboto" w:hAnsi="Roboto" w:cs="Roboto"/>
          <w:i/>
          <w:iCs/>
          <w:sz w:val="24"/>
          <w:szCs w:val="24"/>
          <w:lang w:val="en-US"/>
        </w:rPr>
        <w:t>2025 Quad Foreign Ministers' Meeting</w:t>
      </w:r>
      <w:r>
        <w:rPr>
          <w:rStyle w:val="None"/>
          <w:rFonts w:ascii="Roboto" w:eastAsia="Roboto" w:hAnsi="Roboto" w:cs="Roboto"/>
          <w:sz w:val="24"/>
          <w:szCs w:val="24"/>
        </w:rPr>
        <w:t xml:space="preserve">. </w:t>
      </w:r>
    </w:p>
    <w:p w14:paraId="127B8258" w14:textId="77777777" w:rsidR="006B14D6" w:rsidRDefault="006B14D6">
      <w:pPr>
        <w:pStyle w:val="Body"/>
        <w:spacing w:before="240" w:after="120"/>
        <w:rPr>
          <w:rStyle w:val="Hyperlink0"/>
        </w:rPr>
      </w:pPr>
      <w:hyperlink r:id="rId18" w:history="1">
        <w:r>
          <w:rPr>
            <w:rStyle w:val="Hyperlink0"/>
            <w:lang w:val="en-US"/>
          </w:rPr>
          <w:t>https://www.state.gov/releases/office-of-the-spokesperson/2025/07/2025-quad-foreign-ministers-meeting</w:t>
        </w:r>
      </w:hyperlink>
    </w:p>
    <w:p w14:paraId="27442A42" w14:textId="77777777" w:rsidR="006B14D6" w:rsidRDefault="00000000">
      <w:pPr>
        <w:pStyle w:val="Body"/>
        <w:spacing w:before="240" w:after="120"/>
        <w:rPr>
          <w:rStyle w:val="None"/>
          <w:rFonts w:ascii="Roboto" w:eastAsia="Roboto" w:hAnsi="Roboto" w:cs="Roboto"/>
          <w:sz w:val="24"/>
          <w:szCs w:val="24"/>
        </w:rPr>
      </w:pPr>
      <w:r>
        <w:rPr>
          <w:rStyle w:val="None"/>
          <w:rFonts w:ascii="Roboto" w:eastAsia="Roboto" w:hAnsi="Roboto" w:cs="Roboto"/>
          <w:sz w:val="24"/>
          <w:szCs w:val="24"/>
          <w:lang w:val="en-US"/>
        </w:rPr>
        <w:t xml:space="preserve">U.S. Embassy &amp; Consulates in India. (2024, September 22). </w:t>
      </w:r>
      <w:r>
        <w:rPr>
          <w:rStyle w:val="None"/>
          <w:rFonts w:ascii="Roboto" w:eastAsia="Roboto" w:hAnsi="Roboto" w:cs="Roboto"/>
          <w:i/>
          <w:iCs/>
          <w:sz w:val="24"/>
          <w:szCs w:val="24"/>
          <w:lang w:val="en-US"/>
        </w:rPr>
        <w:t>Fact sheet: 2024 Quad Leaders' Summit</w:t>
      </w:r>
      <w:r>
        <w:rPr>
          <w:rStyle w:val="None"/>
          <w:rFonts w:ascii="Roboto" w:eastAsia="Roboto" w:hAnsi="Roboto" w:cs="Roboto"/>
          <w:sz w:val="24"/>
          <w:szCs w:val="24"/>
        </w:rPr>
        <w:t xml:space="preserve">. </w:t>
      </w:r>
    </w:p>
    <w:p w14:paraId="7D15F9F8" w14:textId="77777777" w:rsidR="006B14D6" w:rsidRDefault="006B14D6">
      <w:pPr>
        <w:pStyle w:val="Body"/>
        <w:spacing w:before="240" w:after="120"/>
        <w:rPr>
          <w:rStyle w:val="Hyperlink0"/>
        </w:rPr>
      </w:pPr>
      <w:hyperlink r:id="rId19" w:history="1">
        <w:r>
          <w:rPr>
            <w:rStyle w:val="Hyperlink0"/>
            <w:lang w:val="en-US"/>
          </w:rPr>
          <w:t>https://in.usembassy.gov/fact-sheet-2024-quad-leaders-summit/</w:t>
        </w:r>
      </w:hyperlink>
    </w:p>
    <w:p w14:paraId="4F2390AF" w14:textId="77777777" w:rsidR="006B14D6" w:rsidRDefault="00000000">
      <w:pPr>
        <w:pStyle w:val="Body"/>
        <w:spacing w:before="240" w:after="120"/>
        <w:rPr>
          <w:rStyle w:val="None"/>
          <w:rFonts w:ascii="Roboto" w:eastAsia="Roboto" w:hAnsi="Roboto" w:cs="Roboto"/>
          <w:sz w:val="24"/>
          <w:szCs w:val="24"/>
        </w:rPr>
      </w:pPr>
      <w:r>
        <w:rPr>
          <w:rStyle w:val="None"/>
          <w:rFonts w:ascii="Roboto" w:eastAsia="Roboto" w:hAnsi="Roboto" w:cs="Roboto"/>
          <w:sz w:val="24"/>
          <w:szCs w:val="24"/>
          <w:lang w:val="en-US"/>
        </w:rPr>
        <w:t xml:space="preserve">United Nations Conference on Trade and Development. (2020). </w:t>
      </w:r>
      <w:r>
        <w:rPr>
          <w:rStyle w:val="None"/>
          <w:rFonts w:ascii="Roboto" w:eastAsia="Roboto" w:hAnsi="Roboto" w:cs="Roboto"/>
          <w:i/>
          <w:iCs/>
          <w:sz w:val="24"/>
          <w:szCs w:val="24"/>
          <w:lang w:val="en-US"/>
        </w:rPr>
        <w:t>Review of maritime transport 2020</w:t>
      </w:r>
      <w:r>
        <w:rPr>
          <w:rStyle w:val="None"/>
          <w:rFonts w:ascii="Roboto" w:eastAsia="Roboto" w:hAnsi="Roboto" w:cs="Roboto"/>
          <w:sz w:val="24"/>
          <w:szCs w:val="24"/>
          <w:lang w:val="pt-PT"/>
        </w:rPr>
        <w:t xml:space="preserve"> [PDF]. </w:t>
      </w:r>
    </w:p>
    <w:p w14:paraId="22727180" w14:textId="77777777" w:rsidR="006B14D6" w:rsidRDefault="006B14D6">
      <w:pPr>
        <w:pStyle w:val="Body"/>
        <w:spacing w:before="240" w:after="120"/>
        <w:rPr>
          <w:rStyle w:val="Hyperlink0"/>
        </w:rPr>
      </w:pPr>
      <w:hyperlink r:id="rId20" w:history="1">
        <w:r>
          <w:rPr>
            <w:rStyle w:val="Hyperlink0"/>
            <w:lang w:val="en-US"/>
          </w:rPr>
          <w:t>https://unctad.org/system/files/official-document/rmt2020_en.pdf</w:t>
        </w:r>
      </w:hyperlink>
    </w:p>
    <w:p w14:paraId="347CE2CB" w14:textId="77777777" w:rsidR="006B14D6" w:rsidRDefault="00000000">
      <w:pPr>
        <w:pStyle w:val="Body"/>
        <w:spacing w:before="240" w:after="120"/>
        <w:rPr>
          <w:rStyle w:val="None"/>
          <w:rFonts w:ascii="Roboto" w:eastAsia="Roboto" w:hAnsi="Roboto" w:cs="Roboto"/>
          <w:sz w:val="24"/>
          <w:szCs w:val="24"/>
        </w:rPr>
      </w:pPr>
      <w:r>
        <w:rPr>
          <w:rStyle w:val="None"/>
          <w:rFonts w:ascii="Roboto" w:eastAsia="Roboto" w:hAnsi="Roboto" w:cs="Roboto"/>
          <w:sz w:val="24"/>
          <w:szCs w:val="24"/>
          <w:lang w:val="en-US"/>
        </w:rPr>
        <w:t xml:space="preserve">White House. (2024, September 21). </w:t>
      </w:r>
      <w:r>
        <w:rPr>
          <w:rStyle w:val="None"/>
          <w:rFonts w:ascii="Roboto" w:eastAsia="Roboto" w:hAnsi="Roboto" w:cs="Roboto"/>
          <w:i/>
          <w:iCs/>
          <w:sz w:val="24"/>
          <w:szCs w:val="24"/>
          <w:lang w:val="en-US"/>
        </w:rPr>
        <w:t>The Wilmington Declaration: Joint statement from the leaders of Australia, India, Japan, and the United States</w:t>
      </w:r>
      <w:r>
        <w:rPr>
          <w:rStyle w:val="None"/>
          <w:rFonts w:ascii="Roboto" w:eastAsia="Roboto" w:hAnsi="Roboto" w:cs="Roboto"/>
          <w:sz w:val="24"/>
          <w:szCs w:val="24"/>
        </w:rPr>
        <w:t xml:space="preserve">. </w:t>
      </w:r>
    </w:p>
    <w:p w14:paraId="3615479C" w14:textId="77777777" w:rsidR="006B14D6" w:rsidRDefault="006B14D6">
      <w:pPr>
        <w:pStyle w:val="Body"/>
        <w:spacing w:before="240" w:after="120"/>
        <w:rPr>
          <w:rStyle w:val="Hyperlink0"/>
        </w:rPr>
      </w:pPr>
      <w:hyperlink r:id="rId21" w:history="1">
        <w:r>
          <w:rPr>
            <w:rStyle w:val="Hyperlink0"/>
            <w:lang w:val="en-US"/>
          </w:rPr>
          <w:t>https://bidenwhitehouse.archives.gov/briefing-room/statements-releases/2024/09/21/the-wilmington-declaration-joint-statement-from-the-leaders-of-australia-india-japan-and-the-united-states/</w:t>
        </w:r>
      </w:hyperlink>
    </w:p>
    <w:p w14:paraId="31BF158B" w14:textId="77777777" w:rsidR="00F26852" w:rsidRDefault="00F26852" w:rsidP="00F26852">
      <w:pPr>
        <w:pStyle w:val="Body"/>
        <w:spacing w:before="240" w:after="120"/>
        <w:rPr>
          <w:rStyle w:val="None"/>
          <w:rFonts w:ascii="Roboto" w:eastAsia="Roboto" w:hAnsi="Roboto" w:cs="Roboto"/>
          <w:sz w:val="24"/>
          <w:szCs w:val="24"/>
          <w:lang w:val="en-US"/>
        </w:rPr>
      </w:pPr>
      <w:r w:rsidRPr="00F26852">
        <w:rPr>
          <w:rStyle w:val="None"/>
          <w:rFonts w:ascii="Roboto" w:eastAsia="Roboto" w:hAnsi="Roboto" w:cs="Roboto"/>
          <w:sz w:val="24"/>
          <w:szCs w:val="24"/>
          <w:lang w:val="en-US"/>
        </w:rPr>
        <w:t>Innis, S. (Captain, N). (2019). Automation in ports: Implications for safety &amp; security [PDF]. Centre for International Port Development (CIP).</w:t>
      </w:r>
    </w:p>
    <w:p w14:paraId="6968F88C" w14:textId="6B3A2C36" w:rsidR="006B14D6" w:rsidRDefault="00F26852" w:rsidP="00F26852">
      <w:pPr>
        <w:pStyle w:val="Body"/>
        <w:spacing w:before="240" w:after="120"/>
        <w:rPr>
          <w:rStyle w:val="Hyperlink0"/>
          <w:lang w:val="en-US"/>
        </w:rPr>
      </w:pPr>
      <w:r w:rsidRPr="00F26852">
        <w:rPr>
          <w:rStyle w:val="None"/>
          <w:rFonts w:ascii="Roboto" w:eastAsia="Roboto" w:hAnsi="Roboto" w:cs="Roboto"/>
          <w:sz w:val="24"/>
          <w:szCs w:val="24"/>
          <w:lang w:val="en-US"/>
        </w:rPr>
        <w:lastRenderedPageBreak/>
        <w:br/>
      </w:r>
      <w:r w:rsidRPr="00F26852">
        <w:rPr>
          <w:rStyle w:val="Hyperlink0"/>
          <w:lang w:val="en-US"/>
        </w:rPr>
        <w:fldChar w:fldCharType="begin"/>
      </w:r>
      <w:r w:rsidRPr="00F26852">
        <w:rPr>
          <w:rStyle w:val="Hyperlink0"/>
          <w:lang w:val="en-US"/>
        </w:rPr>
        <w:instrText>HYPERLINK "https://portalcip.org/wp-content/uploads/2019/11/6-Cap.-Sydney-Innis-Automation-in-Ports-Final-7_compressed.pdf" \t "_blank"</w:instrText>
      </w:r>
      <w:r w:rsidRPr="00F26852">
        <w:rPr>
          <w:rStyle w:val="Hyperlink0"/>
          <w:lang w:val="en-US"/>
        </w:rPr>
      </w:r>
      <w:r w:rsidRPr="00F26852">
        <w:rPr>
          <w:rStyle w:val="Hyperlink0"/>
          <w:lang w:val="en-US"/>
        </w:rPr>
        <w:fldChar w:fldCharType="separate"/>
      </w:r>
      <w:r w:rsidRPr="00F26852">
        <w:rPr>
          <w:rStyle w:val="Hyperlink0"/>
          <w:lang w:val="en-US"/>
        </w:rPr>
        <w:t>https://portalcip.org/wp-content/uploads/2019/11/6-Cap.-Sydney-Innis-Automation-in-Ports-Final-7_compressed.pdf</w:t>
      </w:r>
      <w:r w:rsidRPr="00F26852">
        <w:rPr>
          <w:rStyle w:val="Hyperlink0"/>
          <w:lang w:val="en-US"/>
        </w:rPr>
        <w:fldChar w:fldCharType="end"/>
      </w:r>
    </w:p>
    <w:p w14:paraId="7A662AFF" w14:textId="77777777" w:rsidR="00F26852" w:rsidRPr="00F26852" w:rsidRDefault="00F26852" w:rsidP="00F26852">
      <w:pPr>
        <w:pStyle w:val="Body"/>
        <w:spacing w:before="240" w:after="120"/>
        <w:rPr>
          <w:rStyle w:val="None"/>
          <w:rFonts w:ascii="Roboto" w:eastAsia="Roboto" w:hAnsi="Roboto" w:cs="Roboto"/>
          <w:sz w:val="24"/>
          <w:szCs w:val="24"/>
          <w:lang w:val="en-US"/>
        </w:rPr>
      </w:pPr>
    </w:p>
    <w:p w14:paraId="6B4CC61E" w14:textId="77777777" w:rsidR="00234075" w:rsidRDefault="00F26852" w:rsidP="00F26852">
      <w:pPr>
        <w:pStyle w:val="Body"/>
        <w:spacing w:before="240" w:after="120"/>
        <w:rPr>
          <w:rStyle w:val="None"/>
          <w:rFonts w:ascii="Roboto" w:eastAsia="Roboto" w:hAnsi="Roboto" w:cs="Roboto"/>
          <w:sz w:val="24"/>
          <w:szCs w:val="24"/>
          <w:lang w:val="en-US"/>
        </w:rPr>
      </w:pPr>
      <w:r w:rsidRPr="00F26852">
        <w:rPr>
          <w:rStyle w:val="None"/>
          <w:rFonts w:ascii="Roboto" w:eastAsia="Roboto" w:hAnsi="Roboto" w:cs="Roboto"/>
          <w:sz w:val="24"/>
          <w:szCs w:val="24"/>
          <w:lang w:val="en-US"/>
        </w:rPr>
        <w:t xml:space="preserve">HQE Systems. (2024, October 20). Cargo theft up 49% in 2024: </w:t>
      </w:r>
      <w:r w:rsidRPr="00234075">
        <w:rPr>
          <w:rStyle w:val="None"/>
          <w:rFonts w:ascii="Roboto" w:eastAsia="Roboto" w:hAnsi="Roboto" w:cs="Roboto"/>
          <w:i/>
          <w:iCs/>
          <w:sz w:val="24"/>
          <w:szCs w:val="24"/>
          <w:lang w:val="en-US"/>
        </w:rPr>
        <w:t>How electronic security is protecting ports and supply chains from organized crime</w:t>
      </w:r>
      <w:r w:rsidRPr="00F26852">
        <w:rPr>
          <w:rStyle w:val="None"/>
          <w:rFonts w:ascii="Roboto" w:eastAsia="Roboto" w:hAnsi="Roboto" w:cs="Roboto"/>
          <w:sz w:val="24"/>
          <w:szCs w:val="24"/>
          <w:lang w:val="en-US"/>
        </w:rPr>
        <w:t>.</w:t>
      </w:r>
    </w:p>
    <w:p w14:paraId="535FE461" w14:textId="0D5AB134" w:rsidR="00234075" w:rsidRPr="00234075" w:rsidRDefault="00F26852" w:rsidP="00F26852">
      <w:pPr>
        <w:pStyle w:val="Body"/>
        <w:spacing w:before="240" w:after="120"/>
        <w:rPr>
          <w:rStyle w:val="Hyperlink0"/>
          <w:color w:val="000000"/>
          <w:u w:val="none" w:color="000000"/>
          <w:lang w:val="en-US"/>
        </w:rPr>
      </w:pPr>
      <w:r w:rsidRPr="00F26852">
        <w:rPr>
          <w:rStyle w:val="None"/>
          <w:rFonts w:ascii="Roboto" w:eastAsia="Roboto" w:hAnsi="Roboto" w:cs="Roboto"/>
          <w:sz w:val="24"/>
          <w:szCs w:val="24"/>
          <w:lang w:val="en-US"/>
        </w:rPr>
        <w:br/>
      </w:r>
      <w:hyperlink r:id="rId22" w:tgtFrame="_blank" w:history="1">
        <w:r w:rsidRPr="00F26852">
          <w:rPr>
            <w:rStyle w:val="Hyperlink0"/>
            <w:lang w:val="en-US"/>
          </w:rPr>
          <w:t>https://hqesystems.com/cargo-theft-up-49-in-2024-how-electronic-security-is-protecting-ports-and-supply-chains-from-organized-crime</w:t>
        </w:r>
      </w:hyperlink>
    </w:p>
    <w:p w14:paraId="72BC6981" w14:textId="77777777" w:rsidR="00234075" w:rsidRDefault="00F26852" w:rsidP="00234075">
      <w:pPr>
        <w:pStyle w:val="Body"/>
        <w:spacing w:before="240" w:after="120"/>
        <w:rPr>
          <w:rStyle w:val="None"/>
          <w:rFonts w:ascii="Roboto" w:eastAsia="Roboto" w:hAnsi="Roboto" w:cs="Roboto"/>
          <w:sz w:val="24"/>
          <w:szCs w:val="24"/>
          <w:lang w:val="en-US"/>
        </w:rPr>
      </w:pPr>
      <w:r>
        <w:rPr>
          <w:rFonts w:ascii="Segoe UI" w:hAnsi="Segoe UI" w:cs="Segoe UI"/>
          <w:bdr w:val="single" w:sz="2" w:space="0" w:color="auto" w:frame="1"/>
        </w:rPr>
        <w:br/>
      </w:r>
      <w:r w:rsidR="00234075" w:rsidRPr="00234075">
        <w:rPr>
          <w:rStyle w:val="None"/>
          <w:rFonts w:ascii="Roboto" w:eastAsia="Roboto" w:hAnsi="Roboto" w:cs="Roboto"/>
          <w:sz w:val="24"/>
          <w:szCs w:val="24"/>
          <w:lang w:val="en-US"/>
        </w:rPr>
        <w:t xml:space="preserve">Ministry of External Affairs, Government of India. (2018, June 1). </w:t>
      </w:r>
      <w:r w:rsidR="00234075" w:rsidRPr="00234075">
        <w:rPr>
          <w:rStyle w:val="None"/>
          <w:rFonts w:ascii="Roboto" w:eastAsia="Roboto" w:hAnsi="Roboto" w:cs="Roboto"/>
          <w:i/>
          <w:iCs/>
          <w:sz w:val="24"/>
          <w:szCs w:val="24"/>
          <w:lang w:val="en-US"/>
        </w:rPr>
        <w:t xml:space="preserve">Prime Minister's Keynote Address at Shangri-La Dialogue [Speech]. </w:t>
      </w:r>
      <w:r w:rsidR="00234075" w:rsidRPr="00234075">
        <w:rPr>
          <w:rStyle w:val="None"/>
          <w:rFonts w:ascii="Roboto" w:eastAsia="Roboto" w:hAnsi="Roboto" w:cs="Roboto"/>
          <w:sz w:val="24"/>
          <w:szCs w:val="24"/>
          <w:lang w:val="en-US"/>
        </w:rPr>
        <w:t>Ministry of External Affairs.</w:t>
      </w:r>
    </w:p>
    <w:p w14:paraId="6A0F5846" w14:textId="3CE68656" w:rsidR="00234075" w:rsidRPr="00234075" w:rsidRDefault="00234075" w:rsidP="00234075">
      <w:pPr>
        <w:pStyle w:val="Body"/>
        <w:spacing w:before="240" w:after="120"/>
        <w:rPr>
          <w:rStyle w:val="None"/>
          <w:rFonts w:ascii="Roboto" w:eastAsia="Roboto" w:hAnsi="Roboto" w:cs="Roboto"/>
          <w:lang w:val="en-US"/>
        </w:rPr>
      </w:pPr>
      <w:r w:rsidRPr="00234075">
        <w:rPr>
          <w:rStyle w:val="None"/>
          <w:rFonts w:ascii="Roboto" w:eastAsia="Roboto" w:hAnsi="Roboto" w:cs="Roboto"/>
          <w:sz w:val="24"/>
          <w:szCs w:val="24"/>
          <w:lang w:val="en-US"/>
        </w:rPr>
        <w:br/>
      </w:r>
      <w:hyperlink r:id="rId23" w:tgtFrame="_blank" w:history="1">
        <w:r w:rsidRPr="00234075">
          <w:rPr>
            <w:rStyle w:val="Hyperlink0"/>
            <w:lang w:val="en-US"/>
          </w:rPr>
          <w:t>https://www.mea.gov.in/Speeches-Statements.htm?dtl/29943/Prime+Ministers+Keynote+Address+at+Shangri+La+Dialogue+June+01+2018</w:t>
        </w:r>
      </w:hyperlink>
      <w:r w:rsidRPr="00234075">
        <w:rPr>
          <w:rStyle w:val="Hyperlink0"/>
          <w:lang w:val="en-US"/>
        </w:rPr>
        <w:t>​</w:t>
      </w:r>
    </w:p>
    <w:p w14:paraId="48B771BC" w14:textId="77777777" w:rsidR="00234075" w:rsidRDefault="00234075" w:rsidP="00234075">
      <w:pPr>
        <w:pStyle w:val="Body"/>
        <w:spacing w:before="240" w:after="120"/>
        <w:rPr>
          <w:rStyle w:val="None"/>
          <w:rFonts w:ascii="Roboto" w:eastAsia="Roboto" w:hAnsi="Roboto" w:cs="Roboto"/>
          <w:sz w:val="24"/>
          <w:szCs w:val="24"/>
          <w:lang w:val="en-US"/>
        </w:rPr>
      </w:pPr>
      <w:r w:rsidRPr="00234075">
        <w:rPr>
          <w:rStyle w:val="None"/>
          <w:rFonts w:ascii="Roboto" w:eastAsia="Roboto" w:hAnsi="Roboto" w:cs="Roboto"/>
          <w:sz w:val="24"/>
          <w:szCs w:val="24"/>
          <w:lang w:val="en-US"/>
        </w:rPr>
        <w:t xml:space="preserve">Ministry of External Affairs, Government of India. (2024, February 8). </w:t>
      </w:r>
      <w:r w:rsidRPr="00234075">
        <w:rPr>
          <w:rStyle w:val="None"/>
          <w:rFonts w:ascii="Roboto" w:eastAsia="Roboto" w:hAnsi="Roboto" w:cs="Roboto"/>
          <w:i/>
          <w:iCs/>
          <w:sz w:val="24"/>
          <w:szCs w:val="24"/>
          <w:lang w:val="en-US"/>
        </w:rPr>
        <w:t>Keynote address by EAM Dr. S. Jaishankar at the 7th Indian Ocean Conference: India and the Indian Ocean – Connecting the Continents [Speech].</w:t>
      </w:r>
      <w:r w:rsidRPr="00234075">
        <w:rPr>
          <w:rStyle w:val="None"/>
          <w:rFonts w:ascii="Roboto" w:eastAsia="Roboto" w:hAnsi="Roboto" w:cs="Roboto"/>
          <w:sz w:val="24"/>
          <w:szCs w:val="24"/>
          <w:lang w:val="en-US"/>
        </w:rPr>
        <w:t xml:space="preserve"> Ministry of External Affairs.</w:t>
      </w:r>
    </w:p>
    <w:p w14:paraId="69BA6D03" w14:textId="41287904" w:rsidR="00234075" w:rsidRPr="00234075" w:rsidRDefault="00234075" w:rsidP="00234075">
      <w:pPr>
        <w:pStyle w:val="Body"/>
        <w:spacing w:before="240" w:after="120"/>
        <w:rPr>
          <w:rStyle w:val="None"/>
          <w:rFonts w:ascii="Roboto" w:eastAsia="Roboto" w:hAnsi="Roboto" w:cs="Roboto"/>
          <w:sz w:val="24"/>
          <w:szCs w:val="24"/>
          <w:lang w:val="en-US"/>
        </w:rPr>
      </w:pPr>
      <w:r w:rsidRPr="00234075">
        <w:rPr>
          <w:rStyle w:val="None"/>
          <w:rFonts w:ascii="Roboto" w:eastAsia="Roboto" w:hAnsi="Roboto" w:cs="Roboto"/>
          <w:sz w:val="24"/>
          <w:szCs w:val="24"/>
          <w:lang w:val="en-US"/>
        </w:rPr>
        <w:br/>
      </w:r>
      <w:hyperlink r:id="rId24" w:tgtFrame="_blank" w:history="1">
        <w:r w:rsidRPr="00234075">
          <w:rPr>
            <w:rStyle w:val="Hyperlink0"/>
            <w:lang w:val="en-US"/>
          </w:rPr>
          <w:t>https://www.mea.gov.in/Speeches-Statements.htm?dtl/37609/Keynote_address_by_EAM_Dr_S_Jaishankar_at_the_7th_Indian_Ocean_Conference_India</w:t>
        </w:r>
        <w:r w:rsidRPr="00234075">
          <w:rPr>
            <w:rStyle w:val="Hyperlink0"/>
            <w:lang w:val="en-US"/>
          </w:rPr>
          <w:t>_</w:t>
        </w:r>
        <w:r w:rsidRPr="00234075">
          <w:rPr>
            <w:rStyle w:val="Hyperlink0"/>
            <w:lang w:val="en-US"/>
          </w:rPr>
          <w:t>and_the_Indian_Ocean_Connecting_the_Continents_08_February_2024</w:t>
        </w:r>
      </w:hyperlink>
      <w:r w:rsidRPr="00234075">
        <w:rPr>
          <w:rStyle w:val="Hyperlink0"/>
          <w:lang w:val="en-US"/>
        </w:rPr>
        <w:t>​</w:t>
      </w:r>
    </w:p>
    <w:p w14:paraId="6371ECFB" w14:textId="77777777" w:rsidR="00234075" w:rsidRDefault="00234075" w:rsidP="00234075">
      <w:pPr>
        <w:pStyle w:val="Body"/>
        <w:spacing w:before="240" w:after="120"/>
        <w:rPr>
          <w:rStyle w:val="None"/>
          <w:rFonts w:ascii="Roboto" w:eastAsia="Roboto" w:hAnsi="Roboto" w:cs="Roboto"/>
          <w:sz w:val="24"/>
          <w:szCs w:val="24"/>
          <w:lang w:val="en-US"/>
        </w:rPr>
      </w:pPr>
      <w:r w:rsidRPr="00234075">
        <w:rPr>
          <w:rStyle w:val="None"/>
          <w:rFonts w:ascii="Roboto" w:eastAsia="Roboto" w:hAnsi="Roboto" w:cs="Roboto"/>
          <w:sz w:val="24"/>
          <w:szCs w:val="24"/>
          <w:lang w:val="en-US"/>
        </w:rPr>
        <w:t xml:space="preserve">Press Information Bureau, Government of India. (2025, October 31). </w:t>
      </w:r>
      <w:r w:rsidRPr="00234075">
        <w:rPr>
          <w:rStyle w:val="None"/>
          <w:rFonts w:ascii="Roboto" w:eastAsia="Roboto" w:hAnsi="Roboto" w:cs="Roboto"/>
          <w:i/>
          <w:iCs/>
          <w:sz w:val="24"/>
          <w:szCs w:val="24"/>
          <w:lang w:val="en-US"/>
        </w:rPr>
        <w:t>Prime Minister Shri Narendra Modi's maritime vision for India [Speech].</w:t>
      </w:r>
      <w:r w:rsidRPr="00234075">
        <w:rPr>
          <w:rStyle w:val="None"/>
          <w:rFonts w:ascii="Roboto" w:eastAsia="Roboto" w:hAnsi="Roboto" w:cs="Roboto"/>
          <w:sz w:val="24"/>
          <w:szCs w:val="24"/>
          <w:lang w:val="en-US"/>
        </w:rPr>
        <w:t xml:space="preserve"> Press Information Bureau.</w:t>
      </w:r>
    </w:p>
    <w:p w14:paraId="2FF50866" w14:textId="409306A0" w:rsidR="00234075" w:rsidRPr="00234075" w:rsidRDefault="00234075" w:rsidP="00234075">
      <w:pPr>
        <w:pStyle w:val="Body"/>
        <w:spacing w:before="240" w:after="120"/>
        <w:rPr>
          <w:rStyle w:val="Hyperlink0"/>
          <w:lang w:val="en-US"/>
        </w:rPr>
      </w:pPr>
      <w:r w:rsidRPr="00234075">
        <w:rPr>
          <w:rStyle w:val="None"/>
          <w:rFonts w:ascii="Roboto" w:eastAsia="Roboto" w:hAnsi="Roboto" w:cs="Roboto"/>
          <w:sz w:val="24"/>
          <w:szCs w:val="24"/>
          <w:lang w:val="en-US"/>
        </w:rPr>
        <w:br/>
      </w:r>
      <w:hyperlink r:id="rId25" w:tgtFrame="_blank" w:history="1">
        <w:r w:rsidRPr="00234075">
          <w:rPr>
            <w:rStyle w:val="Hyperlink0"/>
            <w:lang w:val="en-US"/>
          </w:rPr>
          <w:t>https://www.pib.gov.in/PressReleasePage.aspx?PRID=2182946</w:t>
        </w:r>
      </w:hyperlink>
    </w:p>
    <w:p w14:paraId="53BBB6C1" w14:textId="664FF1A4" w:rsidR="00F26852" w:rsidRDefault="00F26852" w:rsidP="00F26852">
      <w:pPr>
        <w:pStyle w:val="Body"/>
        <w:spacing w:before="240" w:after="120"/>
        <w:rPr>
          <w:rStyle w:val="None"/>
          <w:rFonts w:ascii="Roboto" w:eastAsia="Roboto" w:hAnsi="Roboto" w:cs="Roboto"/>
          <w:sz w:val="20"/>
          <w:szCs w:val="20"/>
        </w:rPr>
      </w:pPr>
    </w:p>
    <w:p w14:paraId="7B13FAA2" w14:textId="77777777" w:rsidR="006B14D6" w:rsidRDefault="006B14D6">
      <w:pPr>
        <w:pStyle w:val="Body"/>
        <w:spacing w:before="240" w:after="120"/>
      </w:pPr>
    </w:p>
    <w:sectPr w:rsidR="006B14D6">
      <w:headerReference w:type="default" r:id="rId26"/>
      <w:footerReference w:type="default" r:id="rId2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D3662E" w14:textId="77777777" w:rsidR="001C77E7" w:rsidRDefault="001C77E7">
      <w:r>
        <w:separator/>
      </w:r>
    </w:p>
  </w:endnote>
  <w:endnote w:type="continuationSeparator" w:id="0">
    <w:p w14:paraId="4DF37898" w14:textId="77777777" w:rsidR="001C77E7" w:rsidRDefault="001C77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Roboto">
    <w:panose1 w:val="02000000000000000000"/>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EC665" w14:textId="77777777" w:rsidR="006B14D6" w:rsidRDefault="006B14D6">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7BFF1A" w14:textId="77777777" w:rsidR="001C77E7" w:rsidRDefault="001C77E7">
      <w:r>
        <w:separator/>
      </w:r>
    </w:p>
  </w:footnote>
  <w:footnote w:type="continuationSeparator" w:id="0">
    <w:p w14:paraId="7FA6E1E1" w14:textId="77777777" w:rsidR="001C77E7" w:rsidRDefault="001C77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8DAE5" w14:textId="77777777" w:rsidR="006B14D6" w:rsidRDefault="006B14D6">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14D6"/>
    <w:rsid w:val="0008443D"/>
    <w:rsid w:val="00086EBB"/>
    <w:rsid w:val="000F4E28"/>
    <w:rsid w:val="001C77E7"/>
    <w:rsid w:val="00234075"/>
    <w:rsid w:val="002C30E6"/>
    <w:rsid w:val="002F195F"/>
    <w:rsid w:val="003D2298"/>
    <w:rsid w:val="005A7438"/>
    <w:rsid w:val="006B14D6"/>
    <w:rsid w:val="00880B63"/>
    <w:rsid w:val="009050E6"/>
    <w:rsid w:val="00F26852"/>
    <w:rsid w:val="00F54F4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4C772610"/>
  <w15:docId w15:val="{AA1A54E8-EB65-B74B-8E15-401469175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IN"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2">
    <w:name w:val="heading 2"/>
    <w:next w:val="Body"/>
    <w:uiPriority w:val="9"/>
    <w:unhideWhenUsed/>
    <w:qFormat/>
    <w:pPr>
      <w:keepNext/>
      <w:keepLines/>
      <w:spacing w:before="360" w:after="120" w:line="276" w:lineRule="auto"/>
      <w:outlineLvl w:val="1"/>
    </w:pPr>
    <w:rPr>
      <w:rFonts w:ascii="Arial" w:eastAsia="Arial" w:hAnsi="Arial" w:cs="Arial"/>
      <w:color w:val="000000"/>
      <w:sz w:val="32"/>
      <w:szCs w:val="32"/>
      <w:u w:color="000000"/>
      <w14:textOutline w14:w="0" w14:cap="flat" w14:cmpd="sng" w14:algn="ctr">
        <w14:noFill/>
        <w14:prstDash w14:val="solid"/>
        <w14:bevel/>
      </w14:textOutline>
    </w:rPr>
  </w:style>
  <w:style w:type="paragraph" w:styleId="Heading3">
    <w:name w:val="heading 3"/>
    <w:next w:val="Body"/>
    <w:uiPriority w:val="9"/>
    <w:unhideWhenUsed/>
    <w:qFormat/>
    <w:pPr>
      <w:keepNext/>
      <w:keepLines/>
      <w:spacing w:before="320" w:after="80" w:line="276" w:lineRule="auto"/>
      <w:outlineLvl w:val="2"/>
    </w:pPr>
    <w:rPr>
      <w:rFonts w:ascii="Arial" w:eastAsia="Arial" w:hAnsi="Arial" w:cs="Arial"/>
      <w:color w:val="434343"/>
      <w:sz w:val="28"/>
      <w:szCs w:val="28"/>
      <w:u w:color="434343"/>
      <w14:textOutline w14:w="0" w14:cap="flat" w14:cmpd="sng" w14:algn="ctr">
        <w14:noFill/>
        <w14:prstDash w14:val="solid"/>
        <w14:bevel/>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Heading">
    <w:name w:val="Heading"/>
    <w:next w:val="Body"/>
    <w:pPr>
      <w:keepNext/>
      <w:keepLines/>
      <w:spacing w:before="400" w:after="120" w:line="276" w:lineRule="auto"/>
      <w:outlineLvl w:val="0"/>
    </w:pPr>
    <w:rPr>
      <w:rFonts w:ascii="Arial" w:hAnsi="Arial" w:cs="Arial Unicode MS"/>
      <w:color w:val="000000"/>
      <w:sz w:val="40"/>
      <w:szCs w:val="40"/>
      <w:u w:color="000000"/>
      <w14:textOutline w14:w="0" w14:cap="flat" w14:cmpd="sng" w14:algn="ctr">
        <w14:noFill/>
        <w14:prstDash w14:val="solid"/>
        <w14:bevel/>
      </w14:textOutline>
    </w:rPr>
  </w:style>
  <w:style w:type="paragraph" w:customStyle="1" w:styleId="Body">
    <w:name w:val="Body"/>
    <w:pPr>
      <w:spacing w:line="276" w:lineRule="auto"/>
    </w:pPr>
    <w:rPr>
      <w:rFonts w:ascii="Arial" w:hAnsi="Arial" w:cs="Arial Unicode MS"/>
      <w:color w:val="000000"/>
      <w:sz w:val="22"/>
      <w:szCs w:val="22"/>
      <w:u w:color="000000"/>
      <w14:textOutline w14:w="0" w14:cap="flat" w14:cmpd="sng" w14:algn="ctr">
        <w14:noFill/>
        <w14:prstDash w14:val="solid"/>
        <w14:bevel/>
      </w14:textOutline>
    </w:rPr>
  </w:style>
  <w:style w:type="paragraph" w:customStyle="1" w:styleId="Default">
    <w:name w:val="Default"/>
    <w:pPr>
      <w:spacing w:before="160" w:line="288" w:lineRule="auto"/>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character" w:customStyle="1" w:styleId="None">
    <w:name w:val="None"/>
  </w:style>
  <w:style w:type="character" w:customStyle="1" w:styleId="Hyperlink0">
    <w:name w:val="Hyperlink.0"/>
    <w:basedOn w:val="None"/>
    <w:rPr>
      <w:rFonts w:ascii="Roboto" w:eastAsia="Roboto" w:hAnsi="Roboto" w:cs="Roboto"/>
      <w:outline w:val="0"/>
      <w:color w:val="1155CC"/>
      <w:sz w:val="24"/>
      <w:szCs w:val="24"/>
      <w:u w:val="single" w:color="1155CC"/>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lang w:val="en-US" w:eastAsia="en-US"/>
    </w:rPr>
  </w:style>
  <w:style w:type="character" w:styleId="CommentReference">
    <w:name w:val="annotation reference"/>
    <w:basedOn w:val="DefaultParagraphFont"/>
    <w:uiPriority w:val="99"/>
    <w:semiHidden/>
    <w:unhideWhenUsed/>
    <w:rPr>
      <w:sz w:val="16"/>
      <w:szCs w:val="16"/>
    </w:rPr>
  </w:style>
  <w:style w:type="character" w:customStyle="1" w:styleId="inline-flex">
    <w:name w:val="inline-flex"/>
    <w:basedOn w:val="DefaultParagraphFont"/>
    <w:rsid w:val="00F26852"/>
  </w:style>
  <w:style w:type="character" w:customStyle="1" w:styleId="text-box-trim-both">
    <w:name w:val="text-box-trim-both"/>
    <w:basedOn w:val="DefaultParagraphFont"/>
    <w:rsid w:val="00F26852"/>
  </w:style>
  <w:style w:type="paragraph" w:customStyle="1" w:styleId="my-2">
    <w:name w:val="my-2"/>
    <w:basedOn w:val="Normal"/>
    <w:rsid w:val="0023407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IN"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economictimes.com/news/india/quads-future-port-program-eyes-bay-of-bengal/articleshow/124406012.cms" TargetMode="External"/><Relationship Id="rId13" Type="http://schemas.openxmlformats.org/officeDocument/2006/relationships/hyperlink" Target="https://maritimeindia.org/the-wilmington-declaration-charting-indias-role-in-a-resilient-and-cooperative-indo-pacific/" TargetMode="External"/><Relationship Id="rId18" Type="http://schemas.openxmlformats.org/officeDocument/2006/relationships/hyperlink" Target="https://www.state.gov/releases/office-of-the-spokesperson/2025/07/2025-quad-foreign-ministers-meeting" TargetMode="External"/><Relationship Id="rId26" Type="http://schemas.openxmlformats.org/officeDocument/2006/relationships/header" Target="header1.xml"/><Relationship Id="rId3" Type="http://schemas.openxmlformats.org/officeDocument/2006/relationships/webSettings" Target="webSettings.xml"/><Relationship Id="rId21" Type="http://schemas.openxmlformats.org/officeDocument/2006/relationships/hyperlink" Target="https://bidenwhitehouse.archives.gov/briefing-room/statements-releases/2024/09/21/the-wilmington-declaration-joint-statement-from-the-leaders-of-australia-india-japan-and-the-united-states/" TargetMode="External"/><Relationship Id="rId7" Type="http://schemas.openxmlformats.org/officeDocument/2006/relationships/hyperlink" Target="https://www.congress.gov/crs-product/RL32665" TargetMode="External"/><Relationship Id="rId12" Type="http://schemas.openxmlformats.org/officeDocument/2006/relationships/hyperlink" Target="https://shipmin.gov.in/sites/default/files/Annual%2520Report%25202024-25%2520-%2520English.pdf" TargetMode="External"/><Relationship Id="rId17" Type="http://schemas.openxmlformats.org/officeDocument/2006/relationships/hyperlink" Target="https://timesofindia.indiatimes.com/blogs/ChanakyaCode/four-dimensions-of-the-wilmington-declaration-quads-emergence-as-a-confident-coalition/" TargetMode="External"/><Relationship Id="rId25" Type="http://schemas.openxmlformats.org/officeDocument/2006/relationships/hyperlink" Target="https://www.pib.gov.in/PressReleasePage.aspx?PRID=2182946" TargetMode="External"/><Relationship Id="rId2" Type="http://schemas.openxmlformats.org/officeDocument/2006/relationships/settings" Target="settings.xml"/><Relationship Id="rId16" Type="http://schemas.openxmlformats.org/officeDocument/2006/relationships/hyperlink" Target="https://sagarmala.gov.in/sites/default/files/MIV%25202030%2520Report.pdf" TargetMode="External"/><Relationship Id="rId20" Type="http://schemas.openxmlformats.org/officeDocument/2006/relationships/hyperlink" Target="https://unctad.org/system/files/official-document/rmt2020_en.pdf"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csep.org/wp-content/uploads/2025/10/India-and-the-Quad-in-Port-Development-in-the-Bay-of-Bengal-Region.pdf" TargetMode="External"/><Relationship Id="rId11" Type="http://schemas.openxmlformats.org/officeDocument/2006/relationships/hyperlink" Target="https://www.mea.gov.in/bilateral-documents.htm?dtl%252F39734%252FFactsheet__2025_Quad_Foreign_Ministers_Meeting_in_Washington_DC_July_01_2025" TargetMode="External"/><Relationship Id="rId24" Type="http://schemas.openxmlformats.org/officeDocument/2006/relationships/hyperlink" Target="https://www.mea.gov.in/Speeches-Statements.htm?dtl/37609/Keynote_address_by_EAM_Dr_S_Jaishankar_at_the_7th_Indian_Ocean_Conference_India_and_the_Indian_Ocean_Connecting_the_Continents_08_February_2024" TargetMode="External"/><Relationship Id="rId5" Type="http://schemas.openxmlformats.org/officeDocument/2006/relationships/endnotes" Target="endnotes.xml"/><Relationship Id="rId15" Type="http://schemas.openxmlformats.org/officeDocument/2006/relationships/hyperlink" Target="https://www.pib.gov.in/pressreleasepage.aspx?PRID=2057454" TargetMode="External"/><Relationship Id="rId23" Type="http://schemas.openxmlformats.org/officeDocument/2006/relationships/hyperlink" Target="https://www.mea.gov.in/Speeches-Statements.htm?dtl/29943/Prime+Ministers+Keynote+Address+at+Shangri+La+Dialogue+June+01+2018" TargetMode="External"/><Relationship Id="rId28" Type="http://schemas.openxmlformats.org/officeDocument/2006/relationships/fontTable" Target="fontTable.xml"/><Relationship Id="rId10" Type="http://schemas.openxmlformats.org/officeDocument/2006/relationships/hyperlink" Target="https://www.mea.gov.in/bilateral-documents.htm?dtl%252F38320%252F" TargetMode="External"/><Relationship Id="rId19" Type="http://schemas.openxmlformats.org/officeDocument/2006/relationships/hyperlink" Target="https://in.usembassy.gov/fact-sheet-2024-quad-leaders-summit/" TargetMode="External"/><Relationship Id="rId4" Type="http://schemas.openxmlformats.org/officeDocument/2006/relationships/footnotes" Target="footnotes.xml"/><Relationship Id="rId9" Type="http://schemas.openxmlformats.org/officeDocument/2006/relationships/hyperlink" Target="https://imw.org.in/imw/programmes/ports-of-the-future-partnership-a-quad-initiative/" TargetMode="External"/><Relationship Id="rId14" Type="http://schemas.openxmlformats.org/officeDocument/2006/relationships/hyperlink" Target="https://pacforum.org/publications/pacnet-57-the-quads-steady-resolve-a-blueprint-for-indo-pacific-stability/" TargetMode="External"/><Relationship Id="rId22" Type="http://schemas.openxmlformats.org/officeDocument/2006/relationships/hyperlink" Target="https://hqesystems.com/cargo-theft-up-49-in-2024-how-electronic-security-is-protecting-ports-and-supply-chains-from-organized-crime"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17</Pages>
  <Words>7323</Words>
  <Characters>49069</Characters>
  <Application>Microsoft Office Word</Application>
  <DocSecurity>0</DocSecurity>
  <Lines>654</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Aditya Pareek</cp:lastModifiedBy>
  <cp:revision>3</cp:revision>
  <dcterms:created xsi:type="dcterms:W3CDTF">2026-01-19T10:51:00Z</dcterms:created>
  <dcterms:modified xsi:type="dcterms:W3CDTF">2026-01-19T10:52:00Z</dcterms:modified>
</cp:coreProperties>
</file>